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EBD1">
      <w:pPr>
        <w:tabs>
          <w:tab w:val="left" w:pos="2340"/>
        </w:tabs>
        <w:rPr>
          <w:rFonts w:hint="eastAsia" w:ascii="黑体" w:hAnsi="黑体" w:eastAsia="黑体" w:cs="黑体"/>
          <w:color w:val="auto"/>
          <w:sz w:val="32"/>
          <w:lang w:val="en-US" w:eastAsia="zh-CN"/>
        </w:rPr>
      </w:pPr>
      <w:r>
        <w:rPr>
          <w:rFonts w:hint="eastAsia" w:ascii="黑体" w:hAnsi="黑体" w:eastAsia="黑体" w:cs="黑体"/>
          <w:color w:val="auto"/>
          <w:sz w:val="32"/>
        </w:rPr>
        <w:t>附件</w:t>
      </w:r>
      <w:r>
        <w:rPr>
          <w:rFonts w:hint="eastAsia" w:ascii="Times New Roman" w:hAnsi="Times New Roman" w:eastAsia="仿宋_GB2312" w:cs="Times New Roman"/>
          <w:color w:val="auto"/>
          <w:sz w:val="32"/>
          <w:lang w:val="en-US" w:eastAsia="zh-CN"/>
        </w:rPr>
        <w:t>4</w:t>
      </w:r>
    </w:p>
    <w:p w14:paraId="0B2C6C94">
      <w:pPr>
        <w:tabs>
          <w:tab w:val="left" w:pos="2340"/>
        </w:tabs>
        <w:rPr>
          <w:rFonts w:hint="eastAsia" w:ascii="黑体" w:hAnsi="黑体" w:eastAsia="黑体" w:cs="黑体"/>
          <w:color w:val="auto"/>
          <w:sz w:val="32"/>
          <w:lang w:val="en-US" w:eastAsia="zh-CN"/>
        </w:rPr>
      </w:pPr>
    </w:p>
    <w:p w14:paraId="44190419">
      <w:pPr>
        <w:keepNext w:val="0"/>
        <w:keepLines w:val="0"/>
        <w:pageBreakBefore w:val="0"/>
        <w:widowControl w:val="0"/>
        <w:tabs>
          <w:tab w:val="left" w:pos="2340"/>
        </w:tabs>
        <w:kinsoku/>
        <w:wordWrap/>
        <w:overflowPunct/>
        <w:topLinePunct w:val="0"/>
        <w:autoSpaceDE/>
        <w:autoSpaceDN/>
        <w:bidi w:val="0"/>
        <w:adjustRightInd/>
        <w:snapToGrid/>
        <w:spacing w:line="400" w:lineRule="exact"/>
        <w:ind w:left="230" w:leftChars="0" w:hanging="230" w:hangingChars="64"/>
        <w:jc w:val="center"/>
        <w:textAlignment w:val="auto"/>
        <w:rPr>
          <w:rFonts w:hint="eastAsia" w:ascii="方正小标宋简体" w:hAnsi="方正小标宋简体" w:eastAsia="方正小标宋简体" w:cs="方正小标宋简体"/>
          <w:bCs/>
          <w:color w:val="auto"/>
          <w:sz w:val="36"/>
          <w:szCs w:val="36"/>
          <w:lang w:val="en-US" w:eastAsia="zh-CN"/>
        </w:rPr>
      </w:pPr>
      <w:r>
        <w:rPr>
          <w:rFonts w:hint="eastAsia" w:ascii="方正小标宋简体" w:hAnsi="方正小标宋简体" w:eastAsia="方正小标宋简体" w:cs="方正小标宋简体"/>
          <w:bCs/>
          <w:color w:val="auto"/>
          <w:sz w:val="36"/>
          <w:szCs w:val="36"/>
          <w:lang w:val="en-US" w:eastAsia="zh-CN"/>
        </w:rPr>
        <w:t>2026年印尼国际食品和饮料贸易展暨进东盟</w:t>
      </w:r>
    </w:p>
    <w:p w14:paraId="4B67A93B">
      <w:pPr>
        <w:keepNext w:val="0"/>
        <w:keepLines w:val="0"/>
        <w:pageBreakBefore w:val="0"/>
        <w:widowControl w:val="0"/>
        <w:tabs>
          <w:tab w:val="left" w:pos="2340"/>
        </w:tabs>
        <w:kinsoku/>
        <w:wordWrap/>
        <w:overflowPunct/>
        <w:topLinePunct w:val="0"/>
        <w:autoSpaceDE/>
        <w:autoSpaceDN/>
        <w:bidi w:val="0"/>
        <w:adjustRightInd/>
        <w:snapToGrid/>
        <w:spacing w:line="400" w:lineRule="exact"/>
        <w:ind w:left="230" w:leftChars="0" w:hanging="230" w:hangingChars="64"/>
        <w:jc w:val="center"/>
        <w:textAlignment w:val="auto"/>
        <w:rPr>
          <w:rFonts w:hint="eastAsia" w:ascii="方正小标宋简体" w:hAnsi="方正小标宋简体" w:eastAsia="方正小标宋简体" w:cs="方正小标宋简体"/>
          <w:bCs/>
          <w:color w:val="auto"/>
          <w:sz w:val="36"/>
          <w:szCs w:val="36"/>
          <w:lang w:val="en-US" w:eastAsia="zh-CN"/>
        </w:rPr>
      </w:pPr>
      <w:r>
        <w:rPr>
          <w:rFonts w:hint="eastAsia" w:ascii="方正小标宋简体" w:hAnsi="方正小标宋简体" w:eastAsia="方正小标宋简体" w:cs="方正小标宋简体"/>
          <w:bCs/>
          <w:color w:val="auto"/>
          <w:sz w:val="36"/>
          <w:szCs w:val="36"/>
          <w:lang w:val="en-US" w:eastAsia="zh-CN"/>
        </w:rPr>
        <w:t>（印尼）专题展区报名表</w:t>
      </w:r>
    </w:p>
    <w:p w14:paraId="40C63235">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ascii="Times New Roman"/>
          <w:color w:val="auto"/>
          <w:sz w:val="21"/>
        </w:rPr>
      </w:pPr>
      <w:r>
        <w:rPr>
          <w:rFonts w:ascii="Times New Roman"/>
          <w:bCs/>
          <w:color w:val="auto"/>
          <w:sz w:val="21"/>
          <w:szCs w:val="21"/>
        </w:rPr>
        <w:t>展会时间：</w:t>
      </w:r>
      <w:r>
        <w:rPr>
          <w:rFonts w:hint="default" w:ascii="Times New Roman" w:hAnsi="Times New Roman" w:eastAsia="仿宋_GB2312" w:cs="Times New Roman"/>
          <w:bCs/>
          <w:color w:val="auto"/>
          <w:sz w:val="21"/>
          <w:szCs w:val="21"/>
        </w:rPr>
        <w:t>202</w:t>
      </w:r>
      <w:r>
        <w:rPr>
          <w:rFonts w:hint="eastAsia" w:ascii="Times New Roman" w:hAnsi="Times New Roman" w:eastAsia="仿宋_GB2312" w:cs="Times New Roman"/>
          <w:bCs/>
          <w:color w:val="auto"/>
          <w:sz w:val="21"/>
          <w:szCs w:val="21"/>
          <w:lang w:val="en-US" w:eastAsia="zh-CN"/>
        </w:rPr>
        <w:t>6</w:t>
      </w:r>
      <w:r>
        <w:rPr>
          <w:rFonts w:ascii="Times New Roman"/>
          <w:bCs/>
          <w:color w:val="auto"/>
          <w:sz w:val="21"/>
          <w:szCs w:val="21"/>
        </w:rPr>
        <w:t>年</w:t>
      </w:r>
      <w:r>
        <w:rPr>
          <w:rFonts w:hint="eastAsia" w:ascii="Times New Roman"/>
          <w:bCs/>
          <w:color w:val="auto"/>
          <w:sz w:val="21"/>
          <w:szCs w:val="21"/>
          <w:lang w:val="en-US" w:eastAsia="zh-CN"/>
        </w:rPr>
        <w:t>5</w:t>
      </w:r>
      <w:r>
        <w:rPr>
          <w:rFonts w:ascii="Times New Roman"/>
          <w:bCs/>
          <w:color w:val="auto"/>
          <w:sz w:val="21"/>
          <w:szCs w:val="21"/>
        </w:rPr>
        <w:t>月</w:t>
      </w:r>
      <w:r>
        <w:rPr>
          <w:rFonts w:hint="eastAsia" w:ascii="Times New Roman" w:hAnsi="Times New Roman" w:eastAsia="仿宋_GB2312" w:cs="Times New Roman"/>
          <w:bCs/>
          <w:color w:val="auto"/>
          <w:sz w:val="21"/>
          <w:szCs w:val="21"/>
          <w:lang w:val="en-US" w:eastAsia="zh-CN"/>
        </w:rPr>
        <w:t>7</w:t>
      </w:r>
      <w:r>
        <w:rPr>
          <w:rFonts w:hint="eastAsia" w:ascii="Times New Roman"/>
          <w:bCs/>
          <w:color w:val="auto"/>
          <w:sz w:val="21"/>
          <w:szCs w:val="21"/>
          <w:lang w:eastAsia="zh-CN"/>
        </w:rPr>
        <w:t>—</w:t>
      </w:r>
      <w:r>
        <w:rPr>
          <w:rFonts w:hint="eastAsia" w:ascii="Times New Roman" w:hAnsi="Times New Roman" w:eastAsia="仿宋_GB2312" w:cs="Times New Roman"/>
          <w:bCs/>
          <w:color w:val="auto"/>
          <w:sz w:val="21"/>
          <w:szCs w:val="21"/>
          <w:lang w:val="en-US" w:eastAsia="zh-CN"/>
        </w:rPr>
        <w:t>10</w:t>
      </w:r>
      <w:r>
        <w:rPr>
          <w:rFonts w:ascii="Times New Roman"/>
          <w:bCs/>
          <w:color w:val="auto"/>
          <w:sz w:val="21"/>
          <w:szCs w:val="21"/>
        </w:rPr>
        <w:t>日 展会地址</w:t>
      </w:r>
      <w:r>
        <w:rPr>
          <w:rFonts w:hint="eastAsia" w:ascii="Times New Roman"/>
          <w:bCs/>
          <w:color w:val="auto"/>
          <w:sz w:val="21"/>
          <w:szCs w:val="21"/>
          <w:lang w:eastAsia="zh-CN"/>
        </w:rPr>
        <w:t>：</w:t>
      </w:r>
      <w:r>
        <w:rPr>
          <w:rFonts w:hint="default" w:ascii="Times New Roman"/>
          <w:bCs/>
          <w:color w:val="auto"/>
          <w:sz w:val="21"/>
          <w:szCs w:val="21"/>
          <w:lang w:val="en-US" w:eastAsia="zh-CN"/>
        </w:rPr>
        <w:t>印尼雅加达国际展览中心</w:t>
      </w:r>
      <w:r>
        <w:rPr>
          <w:rFonts w:hint="eastAsia" w:ascii="Times New Roman"/>
          <w:bCs/>
          <w:color w:val="auto"/>
          <w:sz w:val="21"/>
          <w:szCs w:val="21"/>
          <w:lang w:val="en-US" w:eastAsia="zh-CN"/>
        </w:rPr>
        <w:t>（JIExpo Kemayoran Jakarta）</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86"/>
        <w:gridCol w:w="765"/>
        <w:gridCol w:w="839"/>
        <w:gridCol w:w="1542"/>
        <w:gridCol w:w="795"/>
        <w:gridCol w:w="1662"/>
        <w:gridCol w:w="489"/>
        <w:gridCol w:w="422"/>
        <w:gridCol w:w="2165"/>
      </w:tblGrid>
      <w:tr w14:paraId="4A21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692" w:type="dxa"/>
            <w:vMerge w:val="restart"/>
            <w:noWrap w:val="0"/>
            <w:textDirection w:val="tbRlV"/>
            <w:vAlign w:val="center"/>
          </w:tcPr>
          <w:p w14:paraId="580A61C3">
            <w:pPr>
              <w:ind w:left="113" w:right="113"/>
              <w:jc w:val="center"/>
              <w:rPr>
                <w:rFonts w:ascii="黑体" w:hAnsi="黑体" w:eastAsia="黑体" w:cs="黑体"/>
                <w:color w:val="auto"/>
                <w:sz w:val="24"/>
              </w:rPr>
            </w:pPr>
            <w:r>
              <w:rPr>
                <w:rFonts w:hint="eastAsia" w:ascii="黑体" w:hAnsi="黑体" w:eastAsia="黑体" w:cs="黑体"/>
                <w:color w:val="auto"/>
                <w:sz w:val="24"/>
              </w:rPr>
              <w:t>此 内 容 由 参 展</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eastAsia="zh-CN"/>
              </w:rPr>
              <w:t>参</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eastAsia="zh-CN"/>
              </w:rPr>
              <w:t>会</w:t>
            </w:r>
            <w:r>
              <w:rPr>
                <w:rFonts w:hint="eastAsia" w:ascii="黑体" w:hAnsi="黑体" w:eastAsia="黑体" w:cs="黑体"/>
                <w:color w:val="auto"/>
                <w:sz w:val="24"/>
              </w:rPr>
              <w:t xml:space="preserve"> 企 业 填 写</w:t>
            </w:r>
          </w:p>
        </w:tc>
        <w:tc>
          <w:tcPr>
            <w:tcW w:w="1151" w:type="dxa"/>
            <w:gridSpan w:val="2"/>
            <w:vMerge w:val="restart"/>
            <w:noWrap w:val="0"/>
            <w:vAlign w:val="center"/>
          </w:tcPr>
          <w:p w14:paraId="37AF6EB1">
            <w:pPr>
              <w:spacing w:line="300" w:lineRule="exact"/>
              <w:jc w:val="center"/>
              <w:rPr>
                <w:rFonts w:hint="eastAsia" w:hAnsi="仿宋_GB2312" w:cs="仿宋_GB2312"/>
                <w:bCs/>
                <w:color w:val="auto"/>
                <w:sz w:val="22"/>
                <w:szCs w:val="22"/>
              </w:rPr>
            </w:pPr>
            <w:r>
              <w:rPr>
                <w:rFonts w:hint="eastAsia" w:hAnsi="仿宋_GB2312" w:cs="仿宋_GB2312"/>
                <w:bCs/>
                <w:color w:val="auto"/>
                <w:sz w:val="22"/>
                <w:szCs w:val="22"/>
              </w:rPr>
              <w:t>参展</w:t>
            </w:r>
          </w:p>
          <w:p w14:paraId="308E33A4">
            <w:pPr>
              <w:spacing w:line="300" w:lineRule="exact"/>
              <w:jc w:val="center"/>
              <w:rPr>
                <w:rFonts w:hAnsi="仿宋_GB2312" w:cs="仿宋_GB2312"/>
                <w:bCs/>
                <w:color w:val="auto"/>
                <w:sz w:val="22"/>
                <w:szCs w:val="22"/>
              </w:rPr>
            </w:pPr>
            <w:r>
              <w:rPr>
                <w:rFonts w:hint="eastAsia" w:hAnsi="仿宋_GB2312" w:cs="仿宋_GB2312"/>
                <w:bCs/>
                <w:color w:val="auto"/>
                <w:sz w:val="22"/>
                <w:szCs w:val="22"/>
              </w:rPr>
              <w:t>企业名称</w:t>
            </w:r>
          </w:p>
        </w:tc>
        <w:tc>
          <w:tcPr>
            <w:tcW w:w="839" w:type="dxa"/>
            <w:noWrap w:val="0"/>
            <w:vAlign w:val="center"/>
          </w:tcPr>
          <w:p w14:paraId="24995FDC">
            <w:pPr>
              <w:jc w:val="center"/>
              <w:rPr>
                <w:rFonts w:hAnsi="仿宋_GB2312" w:cs="仿宋_GB2312"/>
                <w:bCs/>
                <w:color w:val="auto"/>
                <w:sz w:val="22"/>
                <w:szCs w:val="22"/>
              </w:rPr>
            </w:pPr>
            <w:r>
              <w:rPr>
                <w:rFonts w:hint="eastAsia" w:hAnsi="仿宋_GB2312" w:cs="仿宋_GB2312"/>
                <w:bCs/>
                <w:color w:val="auto"/>
                <w:sz w:val="22"/>
                <w:szCs w:val="22"/>
              </w:rPr>
              <w:t>中文</w:t>
            </w:r>
          </w:p>
        </w:tc>
        <w:tc>
          <w:tcPr>
            <w:tcW w:w="7075" w:type="dxa"/>
            <w:gridSpan w:val="6"/>
            <w:noWrap w:val="0"/>
            <w:vAlign w:val="top"/>
          </w:tcPr>
          <w:p w14:paraId="249388DC">
            <w:pPr>
              <w:widowControl/>
              <w:jc w:val="left"/>
              <w:rPr>
                <w:rFonts w:hAnsi="仿宋_GB2312" w:cs="仿宋_GB2312"/>
                <w:color w:val="auto"/>
                <w:kern w:val="0"/>
                <w:sz w:val="22"/>
                <w:szCs w:val="22"/>
              </w:rPr>
            </w:pPr>
          </w:p>
        </w:tc>
      </w:tr>
      <w:tr w14:paraId="5F4D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692" w:type="dxa"/>
            <w:vMerge w:val="continue"/>
            <w:noWrap w:val="0"/>
            <w:vAlign w:val="center"/>
          </w:tcPr>
          <w:p w14:paraId="78E7A49F">
            <w:pPr>
              <w:jc w:val="center"/>
              <w:rPr>
                <w:rFonts w:ascii="PMingLiU" w:hAnsi="PMingLiU" w:eastAsia="PMingLiU"/>
                <w:bCs/>
                <w:color w:val="auto"/>
              </w:rPr>
            </w:pPr>
          </w:p>
        </w:tc>
        <w:tc>
          <w:tcPr>
            <w:tcW w:w="1151" w:type="dxa"/>
            <w:gridSpan w:val="2"/>
            <w:vMerge w:val="continue"/>
            <w:noWrap w:val="0"/>
            <w:vAlign w:val="center"/>
          </w:tcPr>
          <w:p w14:paraId="45ABB5F6">
            <w:pPr>
              <w:jc w:val="center"/>
              <w:rPr>
                <w:rFonts w:hAnsi="仿宋_GB2312" w:cs="仿宋_GB2312"/>
                <w:bCs/>
                <w:color w:val="auto"/>
                <w:sz w:val="22"/>
                <w:szCs w:val="22"/>
              </w:rPr>
            </w:pPr>
          </w:p>
        </w:tc>
        <w:tc>
          <w:tcPr>
            <w:tcW w:w="839" w:type="dxa"/>
            <w:noWrap w:val="0"/>
            <w:vAlign w:val="center"/>
          </w:tcPr>
          <w:p w14:paraId="2AADF56A">
            <w:pPr>
              <w:jc w:val="center"/>
              <w:rPr>
                <w:rFonts w:hAnsi="仿宋_GB2312" w:cs="仿宋_GB2312"/>
                <w:bCs/>
                <w:color w:val="auto"/>
                <w:sz w:val="22"/>
                <w:szCs w:val="22"/>
              </w:rPr>
            </w:pPr>
            <w:r>
              <w:rPr>
                <w:rFonts w:hint="eastAsia" w:hAnsi="仿宋_GB2312" w:cs="仿宋_GB2312"/>
                <w:bCs/>
                <w:color w:val="auto"/>
                <w:sz w:val="22"/>
                <w:szCs w:val="22"/>
              </w:rPr>
              <w:t>英文</w:t>
            </w:r>
          </w:p>
        </w:tc>
        <w:tc>
          <w:tcPr>
            <w:tcW w:w="7075" w:type="dxa"/>
            <w:gridSpan w:val="6"/>
            <w:noWrap w:val="0"/>
            <w:vAlign w:val="top"/>
          </w:tcPr>
          <w:p w14:paraId="444C0267">
            <w:pPr>
              <w:rPr>
                <w:rFonts w:hAnsi="仿宋_GB2312" w:cs="仿宋_GB2312"/>
                <w:bCs/>
                <w:color w:val="auto"/>
                <w:sz w:val="22"/>
                <w:szCs w:val="22"/>
              </w:rPr>
            </w:pPr>
          </w:p>
        </w:tc>
      </w:tr>
      <w:tr w14:paraId="61A9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92" w:type="dxa"/>
            <w:vMerge w:val="continue"/>
            <w:noWrap w:val="0"/>
            <w:vAlign w:val="top"/>
          </w:tcPr>
          <w:p w14:paraId="379A32AE">
            <w:pPr>
              <w:jc w:val="center"/>
              <w:rPr>
                <w:rFonts w:ascii="PMingLiU" w:hAnsi="PMingLiU" w:eastAsia="PMingLiU"/>
                <w:bCs/>
                <w:color w:val="auto"/>
              </w:rPr>
            </w:pPr>
          </w:p>
        </w:tc>
        <w:tc>
          <w:tcPr>
            <w:tcW w:w="1151" w:type="dxa"/>
            <w:gridSpan w:val="2"/>
            <w:vMerge w:val="restart"/>
            <w:noWrap w:val="0"/>
            <w:vAlign w:val="center"/>
          </w:tcPr>
          <w:p w14:paraId="6AD06F95">
            <w:pPr>
              <w:jc w:val="center"/>
              <w:rPr>
                <w:rFonts w:hAnsi="仿宋_GB2312" w:cs="仿宋_GB2312"/>
                <w:bCs/>
                <w:color w:val="auto"/>
                <w:sz w:val="22"/>
                <w:szCs w:val="22"/>
              </w:rPr>
            </w:pPr>
            <w:r>
              <w:rPr>
                <w:rFonts w:hint="eastAsia" w:hAnsi="仿宋_GB2312" w:cs="仿宋_GB2312"/>
                <w:bCs/>
                <w:color w:val="auto"/>
                <w:sz w:val="22"/>
                <w:szCs w:val="22"/>
              </w:rPr>
              <w:t>地址</w:t>
            </w:r>
          </w:p>
        </w:tc>
        <w:tc>
          <w:tcPr>
            <w:tcW w:w="839" w:type="dxa"/>
            <w:noWrap w:val="0"/>
            <w:vAlign w:val="center"/>
          </w:tcPr>
          <w:p w14:paraId="66E97B05">
            <w:pPr>
              <w:jc w:val="center"/>
              <w:rPr>
                <w:rFonts w:hAnsi="仿宋_GB2312" w:cs="仿宋_GB2312"/>
                <w:bCs/>
                <w:color w:val="auto"/>
                <w:sz w:val="22"/>
                <w:szCs w:val="22"/>
              </w:rPr>
            </w:pPr>
            <w:r>
              <w:rPr>
                <w:rFonts w:hint="eastAsia" w:hAnsi="仿宋_GB2312" w:cs="仿宋_GB2312"/>
                <w:bCs/>
                <w:color w:val="auto"/>
                <w:sz w:val="22"/>
                <w:szCs w:val="22"/>
              </w:rPr>
              <w:t>中文</w:t>
            </w:r>
          </w:p>
        </w:tc>
        <w:tc>
          <w:tcPr>
            <w:tcW w:w="7075" w:type="dxa"/>
            <w:gridSpan w:val="6"/>
            <w:noWrap w:val="0"/>
            <w:vAlign w:val="top"/>
          </w:tcPr>
          <w:p w14:paraId="4E274352">
            <w:pPr>
              <w:rPr>
                <w:rFonts w:ascii="PMingLiU" w:hAnsi="PMingLiU" w:eastAsia="PMingLiU"/>
                <w:bCs/>
                <w:color w:val="auto"/>
                <w:sz w:val="18"/>
                <w:szCs w:val="18"/>
              </w:rPr>
            </w:pPr>
          </w:p>
        </w:tc>
      </w:tr>
      <w:tr w14:paraId="5174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692" w:type="dxa"/>
            <w:vMerge w:val="continue"/>
            <w:noWrap w:val="0"/>
            <w:vAlign w:val="top"/>
          </w:tcPr>
          <w:p w14:paraId="3913E7C9">
            <w:pPr>
              <w:jc w:val="center"/>
              <w:rPr>
                <w:rFonts w:ascii="PMingLiU" w:hAnsi="PMingLiU" w:eastAsia="PMingLiU"/>
                <w:bCs/>
                <w:color w:val="auto"/>
              </w:rPr>
            </w:pPr>
          </w:p>
        </w:tc>
        <w:tc>
          <w:tcPr>
            <w:tcW w:w="1151" w:type="dxa"/>
            <w:gridSpan w:val="2"/>
            <w:vMerge w:val="continue"/>
            <w:noWrap w:val="0"/>
            <w:vAlign w:val="top"/>
          </w:tcPr>
          <w:p w14:paraId="26E85CB5">
            <w:pPr>
              <w:jc w:val="center"/>
              <w:rPr>
                <w:rFonts w:hAnsi="仿宋_GB2312" w:cs="仿宋_GB2312"/>
                <w:bCs/>
                <w:color w:val="auto"/>
                <w:sz w:val="22"/>
                <w:szCs w:val="22"/>
              </w:rPr>
            </w:pPr>
          </w:p>
        </w:tc>
        <w:tc>
          <w:tcPr>
            <w:tcW w:w="839" w:type="dxa"/>
            <w:noWrap w:val="0"/>
            <w:vAlign w:val="center"/>
          </w:tcPr>
          <w:p w14:paraId="339B49DE">
            <w:pPr>
              <w:jc w:val="center"/>
              <w:rPr>
                <w:rFonts w:hAnsi="仿宋_GB2312" w:cs="仿宋_GB2312"/>
                <w:bCs/>
                <w:color w:val="auto"/>
                <w:sz w:val="22"/>
                <w:szCs w:val="22"/>
              </w:rPr>
            </w:pPr>
            <w:r>
              <w:rPr>
                <w:rFonts w:hint="eastAsia" w:hAnsi="仿宋_GB2312" w:cs="仿宋_GB2312"/>
                <w:bCs/>
                <w:color w:val="auto"/>
                <w:sz w:val="22"/>
                <w:szCs w:val="22"/>
              </w:rPr>
              <w:t>英文</w:t>
            </w:r>
          </w:p>
        </w:tc>
        <w:tc>
          <w:tcPr>
            <w:tcW w:w="7075" w:type="dxa"/>
            <w:gridSpan w:val="6"/>
            <w:noWrap w:val="0"/>
            <w:vAlign w:val="top"/>
          </w:tcPr>
          <w:p w14:paraId="40C50251">
            <w:pPr>
              <w:rPr>
                <w:rFonts w:hAnsi="仿宋_GB2312" w:cs="仿宋_GB2312"/>
                <w:bCs/>
                <w:color w:val="auto"/>
                <w:sz w:val="22"/>
                <w:szCs w:val="22"/>
              </w:rPr>
            </w:pPr>
          </w:p>
        </w:tc>
      </w:tr>
      <w:tr w14:paraId="4448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692" w:type="dxa"/>
            <w:vMerge w:val="continue"/>
            <w:noWrap w:val="0"/>
            <w:vAlign w:val="top"/>
          </w:tcPr>
          <w:p w14:paraId="77BB62D2">
            <w:pPr>
              <w:jc w:val="center"/>
              <w:rPr>
                <w:rFonts w:ascii="PMingLiU" w:hAnsi="PMingLiU" w:eastAsia="PMingLiU"/>
                <w:bCs/>
                <w:color w:val="auto"/>
              </w:rPr>
            </w:pPr>
          </w:p>
        </w:tc>
        <w:tc>
          <w:tcPr>
            <w:tcW w:w="1151" w:type="dxa"/>
            <w:gridSpan w:val="2"/>
            <w:vMerge w:val="restart"/>
            <w:noWrap w:val="0"/>
            <w:vAlign w:val="center"/>
          </w:tcPr>
          <w:p w14:paraId="00EFAA4B">
            <w:pPr>
              <w:jc w:val="center"/>
              <w:rPr>
                <w:rFonts w:hAnsi="仿宋_GB2312" w:cs="仿宋_GB2312"/>
                <w:bCs/>
                <w:color w:val="auto"/>
                <w:sz w:val="22"/>
                <w:szCs w:val="22"/>
              </w:rPr>
            </w:pPr>
            <w:r>
              <w:rPr>
                <w:rFonts w:hint="eastAsia" w:hAnsi="仿宋_GB2312" w:cs="仿宋_GB2312"/>
                <w:bCs/>
                <w:color w:val="auto"/>
                <w:sz w:val="22"/>
                <w:szCs w:val="22"/>
              </w:rPr>
              <w:t>联系人</w:t>
            </w:r>
          </w:p>
        </w:tc>
        <w:tc>
          <w:tcPr>
            <w:tcW w:w="839" w:type="dxa"/>
            <w:noWrap w:val="0"/>
            <w:vAlign w:val="center"/>
          </w:tcPr>
          <w:p w14:paraId="53214989">
            <w:pPr>
              <w:jc w:val="center"/>
              <w:rPr>
                <w:rFonts w:hAnsi="仿宋_GB2312" w:cs="仿宋_GB2312"/>
                <w:bCs/>
                <w:color w:val="auto"/>
                <w:sz w:val="22"/>
                <w:szCs w:val="22"/>
              </w:rPr>
            </w:pPr>
            <w:r>
              <w:rPr>
                <w:rFonts w:hint="eastAsia" w:hAnsi="仿宋_GB2312" w:cs="仿宋_GB2312"/>
                <w:bCs/>
                <w:color w:val="auto"/>
                <w:sz w:val="22"/>
                <w:szCs w:val="22"/>
              </w:rPr>
              <w:t>姓名</w:t>
            </w:r>
          </w:p>
        </w:tc>
        <w:tc>
          <w:tcPr>
            <w:tcW w:w="1542" w:type="dxa"/>
            <w:noWrap w:val="0"/>
            <w:vAlign w:val="center"/>
          </w:tcPr>
          <w:p w14:paraId="19DCB246">
            <w:pPr>
              <w:jc w:val="center"/>
              <w:rPr>
                <w:rFonts w:hAnsi="仿宋_GB2312" w:cs="仿宋_GB2312"/>
                <w:bCs/>
                <w:color w:val="auto"/>
                <w:sz w:val="22"/>
                <w:szCs w:val="22"/>
              </w:rPr>
            </w:pPr>
          </w:p>
        </w:tc>
        <w:tc>
          <w:tcPr>
            <w:tcW w:w="795" w:type="dxa"/>
            <w:noWrap w:val="0"/>
            <w:vAlign w:val="center"/>
          </w:tcPr>
          <w:p w14:paraId="4DBE0977">
            <w:pPr>
              <w:jc w:val="center"/>
              <w:rPr>
                <w:rFonts w:hAnsi="仿宋_GB2312" w:cs="仿宋_GB2312"/>
                <w:bCs/>
                <w:color w:val="auto"/>
                <w:sz w:val="22"/>
                <w:szCs w:val="22"/>
              </w:rPr>
            </w:pPr>
            <w:r>
              <w:rPr>
                <w:rFonts w:hint="eastAsia" w:hAnsi="仿宋_GB2312" w:cs="仿宋_GB2312"/>
                <w:bCs/>
                <w:color w:val="auto"/>
                <w:sz w:val="22"/>
                <w:szCs w:val="22"/>
              </w:rPr>
              <w:t>电话</w:t>
            </w:r>
          </w:p>
        </w:tc>
        <w:tc>
          <w:tcPr>
            <w:tcW w:w="1662" w:type="dxa"/>
            <w:noWrap w:val="0"/>
            <w:vAlign w:val="center"/>
          </w:tcPr>
          <w:p w14:paraId="3AD27ED7">
            <w:pPr>
              <w:jc w:val="center"/>
              <w:rPr>
                <w:rFonts w:hAnsi="仿宋_GB2312" w:cs="仿宋_GB2312"/>
                <w:bCs/>
                <w:color w:val="auto"/>
                <w:sz w:val="22"/>
                <w:szCs w:val="22"/>
              </w:rPr>
            </w:pPr>
          </w:p>
        </w:tc>
        <w:tc>
          <w:tcPr>
            <w:tcW w:w="911" w:type="dxa"/>
            <w:gridSpan w:val="2"/>
            <w:noWrap w:val="0"/>
            <w:vAlign w:val="center"/>
          </w:tcPr>
          <w:p w14:paraId="54F620B8">
            <w:pPr>
              <w:jc w:val="center"/>
              <w:rPr>
                <w:rFonts w:hAnsi="仿宋_GB2312" w:cs="仿宋_GB2312"/>
                <w:bCs/>
                <w:color w:val="auto"/>
                <w:sz w:val="22"/>
                <w:szCs w:val="22"/>
              </w:rPr>
            </w:pPr>
            <w:r>
              <w:rPr>
                <w:rFonts w:hint="eastAsia" w:hAnsi="仿宋_GB2312" w:cs="仿宋_GB2312"/>
                <w:bCs/>
                <w:color w:val="auto"/>
                <w:sz w:val="22"/>
                <w:szCs w:val="22"/>
              </w:rPr>
              <w:t>手机</w:t>
            </w:r>
          </w:p>
        </w:tc>
        <w:tc>
          <w:tcPr>
            <w:tcW w:w="2165" w:type="dxa"/>
            <w:noWrap w:val="0"/>
            <w:vAlign w:val="top"/>
          </w:tcPr>
          <w:p w14:paraId="60A1774D">
            <w:pPr>
              <w:rPr>
                <w:rFonts w:ascii="PMingLiU" w:hAnsi="PMingLiU" w:eastAsia="PMingLiU"/>
                <w:bCs/>
                <w:color w:val="auto"/>
                <w:sz w:val="18"/>
                <w:szCs w:val="18"/>
              </w:rPr>
            </w:pPr>
          </w:p>
        </w:tc>
      </w:tr>
      <w:tr w14:paraId="7E70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92" w:type="dxa"/>
            <w:vMerge w:val="continue"/>
            <w:noWrap w:val="0"/>
            <w:vAlign w:val="top"/>
          </w:tcPr>
          <w:p w14:paraId="73715205">
            <w:pPr>
              <w:jc w:val="center"/>
              <w:rPr>
                <w:rFonts w:ascii="PMingLiU" w:hAnsi="PMingLiU" w:eastAsia="PMingLiU"/>
                <w:bCs/>
                <w:color w:val="auto"/>
              </w:rPr>
            </w:pPr>
          </w:p>
        </w:tc>
        <w:tc>
          <w:tcPr>
            <w:tcW w:w="1151" w:type="dxa"/>
            <w:gridSpan w:val="2"/>
            <w:vMerge w:val="continue"/>
            <w:noWrap w:val="0"/>
            <w:vAlign w:val="top"/>
          </w:tcPr>
          <w:p w14:paraId="6C67604F">
            <w:pPr>
              <w:rPr>
                <w:rFonts w:hAnsi="仿宋_GB2312" w:cs="仿宋_GB2312"/>
                <w:bCs/>
                <w:color w:val="auto"/>
                <w:sz w:val="22"/>
                <w:szCs w:val="22"/>
              </w:rPr>
            </w:pPr>
          </w:p>
        </w:tc>
        <w:tc>
          <w:tcPr>
            <w:tcW w:w="839" w:type="dxa"/>
            <w:noWrap w:val="0"/>
            <w:vAlign w:val="center"/>
          </w:tcPr>
          <w:p w14:paraId="0445DB1B">
            <w:pPr>
              <w:jc w:val="center"/>
              <w:rPr>
                <w:rFonts w:hAnsi="仿宋_GB2312" w:cs="仿宋_GB2312"/>
                <w:bCs/>
                <w:color w:val="auto"/>
                <w:sz w:val="22"/>
                <w:szCs w:val="22"/>
              </w:rPr>
            </w:pPr>
            <w:r>
              <w:rPr>
                <w:rFonts w:hint="eastAsia" w:hAnsi="仿宋_GB2312" w:cs="仿宋_GB2312"/>
                <w:bCs/>
                <w:color w:val="auto"/>
                <w:sz w:val="22"/>
                <w:szCs w:val="22"/>
              </w:rPr>
              <w:t>职务</w:t>
            </w:r>
          </w:p>
        </w:tc>
        <w:tc>
          <w:tcPr>
            <w:tcW w:w="1542" w:type="dxa"/>
            <w:noWrap w:val="0"/>
            <w:vAlign w:val="center"/>
          </w:tcPr>
          <w:p w14:paraId="41EBC189">
            <w:pPr>
              <w:jc w:val="center"/>
              <w:rPr>
                <w:rFonts w:hAnsi="仿宋_GB2312" w:cs="仿宋_GB2312"/>
                <w:bCs/>
                <w:color w:val="auto"/>
                <w:sz w:val="22"/>
                <w:szCs w:val="22"/>
              </w:rPr>
            </w:pPr>
          </w:p>
        </w:tc>
        <w:tc>
          <w:tcPr>
            <w:tcW w:w="795" w:type="dxa"/>
            <w:noWrap w:val="0"/>
            <w:vAlign w:val="center"/>
          </w:tcPr>
          <w:p w14:paraId="66D6E978">
            <w:pPr>
              <w:jc w:val="center"/>
              <w:rPr>
                <w:rFonts w:hAnsi="仿宋_GB2312" w:cs="仿宋_GB2312"/>
                <w:bCs/>
                <w:color w:val="auto"/>
                <w:sz w:val="22"/>
                <w:szCs w:val="22"/>
              </w:rPr>
            </w:pPr>
            <w:r>
              <w:rPr>
                <w:rFonts w:hint="eastAsia" w:hAnsi="仿宋_GB2312" w:cs="仿宋_GB2312"/>
                <w:bCs/>
                <w:color w:val="auto"/>
                <w:sz w:val="22"/>
                <w:szCs w:val="22"/>
              </w:rPr>
              <w:t>传真</w:t>
            </w:r>
          </w:p>
        </w:tc>
        <w:tc>
          <w:tcPr>
            <w:tcW w:w="1662" w:type="dxa"/>
            <w:noWrap w:val="0"/>
            <w:vAlign w:val="center"/>
          </w:tcPr>
          <w:p w14:paraId="6166B0A2">
            <w:pPr>
              <w:jc w:val="center"/>
              <w:rPr>
                <w:rFonts w:hAnsi="仿宋_GB2312" w:cs="仿宋_GB2312"/>
                <w:bCs/>
                <w:color w:val="auto"/>
                <w:sz w:val="22"/>
                <w:szCs w:val="22"/>
              </w:rPr>
            </w:pPr>
          </w:p>
        </w:tc>
        <w:tc>
          <w:tcPr>
            <w:tcW w:w="911" w:type="dxa"/>
            <w:gridSpan w:val="2"/>
            <w:noWrap w:val="0"/>
            <w:vAlign w:val="center"/>
          </w:tcPr>
          <w:p w14:paraId="70EF13DC">
            <w:pPr>
              <w:jc w:val="center"/>
              <w:rPr>
                <w:rFonts w:hAnsi="仿宋_GB2312" w:cs="仿宋_GB2312"/>
                <w:bCs/>
                <w:color w:val="auto"/>
                <w:sz w:val="22"/>
                <w:szCs w:val="22"/>
              </w:rPr>
            </w:pPr>
            <w:r>
              <w:rPr>
                <w:rFonts w:ascii="Times New Roman"/>
                <w:bCs/>
                <w:color w:val="auto"/>
                <w:sz w:val="24"/>
                <w:szCs w:val="24"/>
              </w:rPr>
              <w:t>E-mail</w:t>
            </w:r>
          </w:p>
        </w:tc>
        <w:tc>
          <w:tcPr>
            <w:tcW w:w="2165" w:type="dxa"/>
            <w:noWrap w:val="0"/>
            <w:vAlign w:val="top"/>
          </w:tcPr>
          <w:p w14:paraId="59F4D541">
            <w:pPr>
              <w:rPr>
                <w:rFonts w:ascii="PMingLiU" w:hAnsi="PMingLiU" w:eastAsia="PMingLiU"/>
                <w:bCs/>
                <w:color w:val="auto"/>
                <w:sz w:val="18"/>
                <w:szCs w:val="18"/>
              </w:rPr>
            </w:pPr>
          </w:p>
        </w:tc>
      </w:tr>
      <w:tr w14:paraId="1E12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692" w:type="dxa"/>
            <w:vMerge w:val="continue"/>
            <w:noWrap w:val="0"/>
            <w:vAlign w:val="top"/>
          </w:tcPr>
          <w:p w14:paraId="1BB30A08">
            <w:pPr>
              <w:jc w:val="center"/>
              <w:rPr>
                <w:rFonts w:ascii="PMingLiU" w:hAnsi="PMingLiU" w:eastAsia="PMingLiU"/>
                <w:bCs/>
                <w:color w:val="auto"/>
              </w:rPr>
            </w:pPr>
          </w:p>
        </w:tc>
        <w:tc>
          <w:tcPr>
            <w:tcW w:w="1151" w:type="dxa"/>
            <w:gridSpan w:val="2"/>
            <w:noWrap w:val="0"/>
            <w:vAlign w:val="center"/>
          </w:tcPr>
          <w:p w14:paraId="3CBE261B">
            <w:pPr>
              <w:jc w:val="center"/>
              <w:rPr>
                <w:rFonts w:hAnsi="仿宋_GB2312" w:cs="仿宋_GB2312"/>
                <w:bCs/>
                <w:color w:val="auto"/>
                <w:sz w:val="22"/>
                <w:szCs w:val="22"/>
              </w:rPr>
            </w:pPr>
            <w:r>
              <w:rPr>
                <w:rFonts w:hint="eastAsia" w:hAnsi="仿宋_GB2312" w:cs="仿宋_GB2312"/>
                <w:bCs/>
                <w:color w:val="auto"/>
                <w:sz w:val="22"/>
                <w:szCs w:val="22"/>
              </w:rPr>
              <w:t>展品名称</w:t>
            </w:r>
          </w:p>
        </w:tc>
        <w:tc>
          <w:tcPr>
            <w:tcW w:w="7914" w:type="dxa"/>
            <w:gridSpan w:val="7"/>
            <w:noWrap w:val="0"/>
            <w:vAlign w:val="center"/>
          </w:tcPr>
          <w:p w14:paraId="1F6CA658">
            <w:pPr>
              <w:jc w:val="center"/>
              <w:rPr>
                <w:rFonts w:hAnsi="仿宋_GB2312" w:cs="仿宋_GB2312"/>
                <w:bCs/>
                <w:color w:val="auto"/>
                <w:sz w:val="22"/>
                <w:szCs w:val="22"/>
              </w:rPr>
            </w:pPr>
          </w:p>
        </w:tc>
      </w:tr>
      <w:tr w14:paraId="6692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692" w:type="dxa"/>
            <w:vMerge w:val="continue"/>
            <w:noWrap w:val="0"/>
            <w:vAlign w:val="top"/>
          </w:tcPr>
          <w:p w14:paraId="01736880">
            <w:pPr>
              <w:jc w:val="center"/>
              <w:rPr>
                <w:rFonts w:ascii="PMingLiU" w:hAnsi="PMingLiU" w:eastAsia="PMingLiU"/>
                <w:bCs/>
                <w:color w:val="auto"/>
              </w:rPr>
            </w:pPr>
          </w:p>
        </w:tc>
        <w:tc>
          <w:tcPr>
            <w:tcW w:w="6478" w:type="dxa"/>
            <w:gridSpan w:val="7"/>
            <w:noWrap w:val="0"/>
            <w:vAlign w:val="center"/>
          </w:tcPr>
          <w:p w14:paraId="70563D4C">
            <w:pPr>
              <w:jc w:val="both"/>
              <w:rPr>
                <w:rFonts w:hAnsi="仿宋_GB2312" w:cs="仿宋_GB2312"/>
                <w:bCs/>
                <w:color w:val="auto"/>
                <w:sz w:val="22"/>
                <w:szCs w:val="22"/>
              </w:rPr>
            </w:pPr>
            <w:r>
              <w:rPr>
                <w:rFonts w:hint="eastAsia" w:hAnsi="仿宋_GB2312" w:cs="仿宋_GB2312"/>
                <w:color w:val="auto"/>
                <w:sz w:val="22"/>
                <w:szCs w:val="22"/>
              </w:rPr>
              <w:t>是否有展品需要提前运输至</w:t>
            </w:r>
            <w:r>
              <w:rPr>
                <w:rFonts w:hint="eastAsia" w:hAnsi="仿宋_GB2312" w:cs="仿宋_GB2312"/>
                <w:color w:val="auto"/>
                <w:sz w:val="22"/>
                <w:szCs w:val="22"/>
                <w:lang w:val="en-US" w:eastAsia="zh-CN"/>
              </w:rPr>
              <w:t>雅加达</w:t>
            </w:r>
            <w:r>
              <w:rPr>
                <w:rFonts w:hint="eastAsia" w:hAnsi="仿宋_GB2312" w:cs="仿宋_GB2312"/>
                <w:color w:val="auto"/>
                <w:sz w:val="22"/>
                <w:szCs w:val="22"/>
              </w:rPr>
              <w:t>：</w:t>
            </w:r>
            <w:r>
              <w:rPr>
                <w:rFonts w:hint="eastAsia" w:hAnsi="仿宋_GB2312" w:cs="仿宋_GB2312"/>
                <w:color w:val="auto"/>
                <w:sz w:val="22"/>
                <w:szCs w:val="22"/>
                <w:lang w:eastAsia="zh-CN"/>
              </w:rPr>
              <w:t>□</w:t>
            </w:r>
            <w:r>
              <w:rPr>
                <w:rFonts w:hint="eastAsia" w:hAnsi="仿宋_GB2312" w:cs="仿宋_GB2312"/>
                <w:color w:val="auto"/>
                <w:sz w:val="22"/>
                <w:szCs w:val="22"/>
              </w:rPr>
              <w:t xml:space="preserve">是       </w:t>
            </w:r>
            <w:r>
              <w:rPr>
                <w:rFonts w:hint="eastAsia" w:hAnsi="仿宋_GB2312" w:cs="仿宋_GB2312"/>
                <w:color w:val="auto"/>
                <w:sz w:val="22"/>
                <w:szCs w:val="22"/>
                <w:lang w:eastAsia="zh-CN"/>
              </w:rPr>
              <w:t>□</w:t>
            </w:r>
            <w:r>
              <w:rPr>
                <w:rFonts w:hint="eastAsia" w:hAnsi="仿宋_GB2312" w:cs="仿宋_GB2312"/>
                <w:color w:val="auto"/>
                <w:sz w:val="22"/>
                <w:szCs w:val="22"/>
              </w:rPr>
              <w:t>否</w:t>
            </w:r>
            <w:r>
              <w:rPr>
                <w:rFonts w:hint="eastAsia" w:hAnsi="仿宋_GB2312" w:cs="仿宋_GB2312"/>
                <w:color w:val="auto"/>
                <w:sz w:val="22"/>
                <w:szCs w:val="22"/>
                <w:lang w:eastAsia="zh-CN"/>
              </w:rPr>
              <w:t>（</w:t>
            </w:r>
            <w:r>
              <w:rPr>
                <w:rFonts w:hint="eastAsia" w:hAnsi="仿宋_GB2312" w:cs="仿宋_GB2312"/>
                <w:color w:val="auto"/>
                <w:sz w:val="22"/>
                <w:szCs w:val="22"/>
              </w:rPr>
              <w:t>自行携带</w:t>
            </w:r>
            <w:r>
              <w:rPr>
                <w:rFonts w:hint="eastAsia" w:hAnsi="仿宋_GB2312" w:cs="仿宋_GB2312"/>
                <w:color w:val="auto"/>
                <w:sz w:val="22"/>
                <w:szCs w:val="22"/>
                <w:lang w:eastAsia="zh-CN"/>
              </w:rPr>
              <w:t>）</w:t>
            </w:r>
          </w:p>
        </w:tc>
        <w:tc>
          <w:tcPr>
            <w:tcW w:w="2587" w:type="dxa"/>
            <w:gridSpan w:val="2"/>
            <w:vMerge w:val="restart"/>
            <w:noWrap w:val="0"/>
            <w:vAlign w:val="top"/>
          </w:tcPr>
          <w:p w14:paraId="113AD470">
            <w:pPr>
              <w:rPr>
                <w:rFonts w:hAnsi="仿宋_GB2312" w:cs="仿宋_GB2312"/>
                <w:b/>
                <w:bCs/>
                <w:color w:val="auto"/>
                <w:sz w:val="22"/>
                <w:szCs w:val="22"/>
              </w:rPr>
            </w:pPr>
            <w:r>
              <w:rPr>
                <w:rFonts w:hint="eastAsia" w:hAnsi="仿宋_GB2312" w:cs="仿宋_GB2312"/>
                <w:b/>
                <w:bCs/>
                <w:color w:val="auto"/>
                <w:sz w:val="22"/>
                <w:szCs w:val="22"/>
              </w:rPr>
              <w:t>单位确认：</w:t>
            </w:r>
          </w:p>
          <w:p w14:paraId="4B406AA4">
            <w:pPr>
              <w:rPr>
                <w:rFonts w:hAnsi="仿宋_GB2312" w:cs="仿宋_GB2312"/>
                <w:bCs/>
                <w:color w:val="auto"/>
                <w:sz w:val="22"/>
                <w:szCs w:val="22"/>
              </w:rPr>
            </w:pPr>
          </w:p>
          <w:p w14:paraId="7EA583DE">
            <w:pPr>
              <w:rPr>
                <w:rFonts w:hAnsi="仿宋_GB2312" w:cs="仿宋_GB2312"/>
                <w:bCs/>
                <w:color w:val="auto"/>
                <w:sz w:val="22"/>
                <w:szCs w:val="22"/>
              </w:rPr>
            </w:pPr>
          </w:p>
          <w:p w14:paraId="53058A9D">
            <w:pPr>
              <w:rPr>
                <w:rFonts w:hAnsi="仿宋_GB2312" w:cs="仿宋_GB2312"/>
                <w:bCs/>
                <w:color w:val="auto"/>
                <w:sz w:val="22"/>
                <w:szCs w:val="22"/>
              </w:rPr>
            </w:pPr>
          </w:p>
          <w:p w14:paraId="66A5191A">
            <w:pPr>
              <w:rPr>
                <w:rFonts w:hAnsi="仿宋_GB2312" w:cs="仿宋_GB2312"/>
                <w:bCs/>
                <w:color w:val="auto"/>
                <w:sz w:val="22"/>
                <w:szCs w:val="22"/>
              </w:rPr>
            </w:pPr>
            <w:r>
              <w:rPr>
                <w:rFonts w:hint="eastAsia" w:hAnsi="仿宋_GB2312" w:cs="仿宋_GB2312"/>
                <w:bCs/>
                <w:color w:val="auto"/>
                <w:sz w:val="22"/>
                <w:szCs w:val="22"/>
              </w:rPr>
              <w:t xml:space="preserve">代表：（签字盖章）                             </w:t>
            </w:r>
          </w:p>
          <w:p w14:paraId="24912833">
            <w:pPr>
              <w:widowControl/>
              <w:jc w:val="left"/>
              <w:rPr>
                <w:rFonts w:hAnsi="仿宋_GB2312" w:cs="仿宋_GB2312"/>
                <w:bCs/>
                <w:color w:val="auto"/>
                <w:sz w:val="22"/>
                <w:szCs w:val="22"/>
              </w:rPr>
            </w:pPr>
            <w:r>
              <w:rPr>
                <w:rFonts w:hint="eastAsia" w:hAnsi="仿宋_GB2312" w:cs="仿宋_GB2312"/>
                <w:bCs/>
                <w:color w:val="auto"/>
                <w:sz w:val="22"/>
                <w:szCs w:val="22"/>
              </w:rPr>
              <w:t xml:space="preserve">  </w:t>
            </w:r>
          </w:p>
          <w:p w14:paraId="659C6F74">
            <w:pPr>
              <w:widowControl/>
              <w:jc w:val="left"/>
              <w:rPr>
                <w:rFonts w:hAnsi="仿宋_GB2312" w:cs="仿宋_GB2312"/>
                <w:bCs/>
                <w:color w:val="auto"/>
                <w:sz w:val="22"/>
                <w:szCs w:val="22"/>
              </w:rPr>
            </w:pPr>
            <w:r>
              <w:rPr>
                <w:rFonts w:hint="eastAsia" w:hAnsi="仿宋_GB2312" w:cs="仿宋_GB2312"/>
                <w:bCs/>
                <w:color w:val="auto"/>
                <w:sz w:val="22"/>
                <w:szCs w:val="22"/>
              </w:rPr>
              <w:t xml:space="preserve">                                          </w:t>
            </w:r>
          </w:p>
          <w:p w14:paraId="2E45655E">
            <w:pPr>
              <w:widowControl/>
              <w:jc w:val="left"/>
              <w:rPr>
                <w:rFonts w:ascii="PMingLiU" w:hAnsi="PMingLiU" w:eastAsia="PMingLiU"/>
                <w:bCs/>
                <w:color w:val="auto"/>
                <w:sz w:val="18"/>
                <w:szCs w:val="18"/>
              </w:rPr>
            </w:pPr>
            <w:r>
              <w:rPr>
                <w:rFonts w:hint="default" w:ascii="Times New Roman" w:hAnsi="Times New Roman" w:eastAsia="仿宋_GB2312" w:cs="Times New Roman"/>
                <w:bCs/>
                <w:color w:val="auto"/>
                <w:sz w:val="22"/>
                <w:szCs w:val="22"/>
              </w:rPr>
              <w:t>202</w:t>
            </w:r>
            <w:r>
              <w:rPr>
                <w:rFonts w:hint="eastAsia" w:ascii="Times New Roman" w:hAnsi="Times New Roman" w:eastAsia="仿宋_GB2312" w:cs="Times New Roman"/>
                <w:bCs/>
                <w:color w:val="auto"/>
                <w:sz w:val="22"/>
                <w:szCs w:val="22"/>
                <w:lang w:val="en-US" w:eastAsia="zh-CN"/>
              </w:rPr>
              <w:t>6</w:t>
            </w:r>
            <w:r>
              <w:rPr>
                <w:rFonts w:ascii="Times New Roman"/>
                <w:bCs/>
                <w:color w:val="auto"/>
                <w:sz w:val="22"/>
                <w:szCs w:val="22"/>
              </w:rPr>
              <w:t xml:space="preserve"> </w:t>
            </w:r>
            <w:r>
              <w:rPr>
                <w:rFonts w:hint="eastAsia" w:hAnsi="仿宋_GB2312" w:cs="仿宋_GB2312"/>
                <w:bCs/>
                <w:color w:val="auto"/>
                <w:sz w:val="22"/>
                <w:szCs w:val="22"/>
              </w:rPr>
              <w:t xml:space="preserve">年     月    日   </w:t>
            </w:r>
          </w:p>
        </w:tc>
      </w:tr>
      <w:tr w14:paraId="134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92" w:type="dxa"/>
            <w:vMerge w:val="continue"/>
            <w:noWrap w:val="0"/>
            <w:vAlign w:val="top"/>
          </w:tcPr>
          <w:p w14:paraId="2B773D0A">
            <w:pPr>
              <w:jc w:val="center"/>
              <w:rPr>
                <w:rFonts w:ascii="PMingLiU" w:hAnsi="PMingLiU" w:eastAsia="PMingLiU"/>
                <w:bCs/>
                <w:color w:val="auto"/>
              </w:rPr>
            </w:pPr>
          </w:p>
        </w:tc>
        <w:tc>
          <w:tcPr>
            <w:tcW w:w="6478" w:type="dxa"/>
            <w:gridSpan w:val="7"/>
            <w:noWrap w:val="0"/>
            <w:vAlign w:val="center"/>
          </w:tcPr>
          <w:p w14:paraId="640EDA67">
            <w:pPr>
              <w:jc w:val="both"/>
              <w:rPr>
                <w:rFonts w:hAnsi="仿宋_GB2312" w:cs="仿宋_GB2312"/>
                <w:bCs/>
                <w:color w:val="auto"/>
                <w:sz w:val="22"/>
                <w:szCs w:val="22"/>
              </w:rPr>
            </w:pPr>
            <w:r>
              <w:rPr>
                <w:rFonts w:hint="eastAsia" w:hAnsi="仿宋_GB2312" w:cs="仿宋_GB2312"/>
                <w:color w:val="auto"/>
                <w:sz w:val="22"/>
                <w:szCs w:val="22"/>
              </w:rPr>
              <w:t xml:space="preserve">参展人员持护照类别：□因私护照   </w:t>
            </w:r>
            <w:r>
              <w:rPr>
                <w:rFonts w:hint="eastAsia" w:hAnsi="仿宋_GB2312" w:cs="仿宋_GB2312"/>
                <w:color w:val="auto"/>
                <w:sz w:val="22"/>
                <w:szCs w:val="22"/>
                <w:lang w:val="en-US" w:eastAsia="zh-CN"/>
              </w:rPr>
              <w:t xml:space="preserve">  </w:t>
            </w:r>
            <w:r>
              <w:rPr>
                <w:rFonts w:hint="eastAsia" w:hAnsi="仿宋_GB2312" w:cs="仿宋_GB2312"/>
                <w:color w:val="auto"/>
                <w:sz w:val="22"/>
                <w:szCs w:val="22"/>
              </w:rPr>
              <w:t xml:space="preserve">   </w:t>
            </w:r>
            <w:r>
              <w:rPr>
                <w:rFonts w:hint="eastAsia" w:hAnsi="仿宋_GB2312" w:cs="仿宋_GB2312"/>
                <w:color w:val="auto"/>
                <w:sz w:val="22"/>
                <w:szCs w:val="22"/>
                <w:lang w:eastAsia="zh-CN"/>
              </w:rPr>
              <w:t>□</w:t>
            </w:r>
            <w:r>
              <w:rPr>
                <w:rFonts w:hint="eastAsia" w:hAnsi="仿宋_GB2312" w:cs="仿宋_GB2312"/>
                <w:color w:val="auto"/>
                <w:sz w:val="22"/>
                <w:szCs w:val="22"/>
              </w:rPr>
              <w:t>因公护照</w:t>
            </w:r>
          </w:p>
        </w:tc>
        <w:tc>
          <w:tcPr>
            <w:tcW w:w="2587" w:type="dxa"/>
            <w:gridSpan w:val="2"/>
            <w:vMerge w:val="continue"/>
            <w:noWrap w:val="0"/>
            <w:vAlign w:val="top"/>
          </w:tcPr>
          <w:p w14:paraId="4A498273">
            <w:pPr>
              <w:rPr>
                <w:rFonts w:ascii="PMingLiU" w:hAnsi="PMingLiU" w:eastAsia="PMingLiU"/>
                <w:b/>
                <w:bCs/>
                <w:color w:val="auto"/>
                <w:sz w:val="18"/>
                <w:szCs w:val="18"/>
              </w:rPr>
            </w:pPr>
          </w:p>
        </w:tc>
      </w:tr>
      <w:tr w14:paraId="119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692" w:type="dxa"/>
            <w:vMerge w:val="continue"/>
            <w:noWrap w:val="0"/>
            <w:vAlign w:val="top"/>
          </w:tcPr>
          <w:p w14:paraId="02E10C25">
            <w:pPr>
              <w:rPr>
                <w:rFonts w:ascii="PMingLiU" w:hAnsi="PMingLiU" w:eastAsia="PMingLiU"/>
                <w:bCs/>
                <w:color w:val="auto"/>
              </w:rPr>
            </w:pPr>
          </w:p>
        </w:tc>
        <w:tc>
          <w:tcPr>
            <w:tcW w:w="386" w:type="dxa"/>
            <w:vMerge w:val="restart"/>
            <w:noWrap w:val="0"/>
            <w:textDirection w:val="tbRlV"/>
            <w:vAlign w:val="center"/>
          </w:tcPr>
          <w:p w14:paraId="4170BE3B">
            <w:pPr>
              <w:spacing w:line="480" w:lineRule="auto"/>
              <w:ind w:left="283" w:right="283"/>
              <w:jc w:val="center"/>
              <w:rPr>
                <w:rFonts w:ascii="黑体" w:hAnsi="黑体" w:eastAsia="黑体" w:cs="黑体"/>
                <w:bCs/>
                <w:color w:val="auto"/>
                <w:sz w:val="22"/>
                <w:szCs w:val="22"/>
              </w:rPr>
            </w:pPr>
            <w:r>
              <w:rPr>
                <w:rFonts w:hint="eastAsia" w:ascii="黑体" w:hAnsi="黑体" w:eastAsia="黑体" w:cs="黑体"/>
                <w:bCs/>
                <w:color w:val="auto"/>
                <w:sz w:val="22"/>
                <w:szCs w:val="22"/>
                <w:lang w:eastAsia="zh-CN"/>
              </w:rPr>
              <w:t>参展参会</w:t>
            </w:r>
            <w:r>
              <w:rPr>
                <w:rFonts w:hint="eastAsia" w:ascii="黑体" w:hAnsi="黑体" w:eastAsia="黑体" w:cs="黑体"/>
                <w:bCs/>
                <w:color w:val="auto"/>
                <w:sz w:val="22"/>
                <w:szCs w:val="22"/>
              </w:rPr>
              <w:t>费用</w:t>
            </w:r>
          </w:p>
        </w:tc>
        <w:tc>
          <w:tcPr>
            <w:tcW w:w="6092" w:type="dxa"/>
            <w:gridSpan w:val="6"/>
            <w:noWrap w:val="0"/>
            <w:vAlign w:val="center"/>
          </w:tcPr>
          <w:p w14:paraId="1942680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bCs/>
                <w:color w:val="auto"/>
                <w:sz w:val="21"/>
                <w:szCs w:val="21"/>
              </w:rPr>
            </w:pPr>
            <w:r>
              <w:rPr>
                <w:rFonts w:hint="default" w:ascii="Times New Roman" w:hAnsi="Times New Roman" w:eastAsia="仿宋_GB2312" w:cs="Times New Roman"/>
                <w:bCs/>
                <w:color w:val="auto"/>
                <w:sz w:val="21"/>
                <w:szCs w:val="21"/>
              </w:rPr>
              <w:t>1</w:t>
            </w:r>
            <w:r>
              <w:rPr>
                <w:rFonts w:ascii="Times New Roman"/>
                <w:bCs/>
                <w:color w:val="auto"/>
                <w:sz w:val="21"/>
                <w:szCs w:val="21"/>
              </w:rPr>
              <w:t>.</w:t>
            </w:r>
            <w:r>
              <w:rPr>
                <w:rFonts w:ascii="Times New Roman"/>
                <w:b/>
                <w:bCs w:val="0"/>
                <w:color w:val="auto"/>
                <w:sz w:val="21"/>
                <w:szCs w:val="21"/>
              </w:rPr>
              <w:t>标准展位费</w:t>
            </w:r>
          </w:p>
          <w:p w14:paraId="399A018C">
            <w:pPr>
              <w:keepNext w:val="0"/>
              <w:keepLines w:val="0"/>
              <w:pageBreakBefore w:val="0"/>
              <w:widowControl w:val="0"/>
              <w:shd w:val="clear" w:color="auto" w:fill="auto"/>
              <w:kinsoku/>
              <w:wordWrap/>
              <w:overflowPunct/>
              <w:topLinePunct w:val="0"/>
              <w:autoSpaceDE/>
              <w:autoSpaceDN/>
              <w:bidi w:val="0"/>
              <w:adjustRightInd/>
              <w:snapToGrid/>
              <w:spacing w:afterAutospacing="0" w:line="300" w:lineRule="exact"/>
              <w:textAlignment w:val="auto"/>
              <w:rPr>
                <w:rFonts w:hint="default" w:ascii="Times New Roman" w:eastAsia="仿宋_GB2312"/>
                <w:bCs/>
                <w:color w:val="auto"/>
                <w:sz w:val="21"/>
                <w:szCs w:val="21"/>
                <w:highlight w:val="none"/>
                <w:lang w:val="en-US" w:eastAsia="zh-CN"/>
              </w:rPr>
            </w:pPr>
            <w:r>
              <w:rPr>
                <w:rFonts w:ascii="Times New Roman"/>
                <w:bCs/>
                <w:color w:val="auto"/>
                <w:sz w:val="21"/>
                <w:szCs w:val="21"/>
                <w:u w:val="single"/>
              </w:rPr>
              <w:t xml:space="preserve">       </w:t>
            </w:r>
            <w:r>
              <w:rPr>
                <w:rFonts w:ascii="Times New Roman"/>
                <w:bCs/>
                <w:color w:val="auto"/>
                <w:sz w:val="21"/>
                <w:szCs w:val="21"/>
              </w:rPr>
              <w:t>个标准展位（</w:t>
            </w:r>
            <w:r>
              <w:rPr>
                <w:rFonts w:hint="default" w:ascii="Times New Roman" w:hAnsi="Times New Roman" w:eastAsia="仿宋_GB2312" w:cs="Times New Roman"/>
                <w:bCs/>
                <w:color w:val="auto"/>
                <w:sz w:val="21"/>
                <w:szCs w:val="21"/>
              </w:rPr>
              <w:t>9</w:t>
            </w:r>
            <w:r>
              <w:rPr>
                <w:rFonts w:hint="eastAsia" w:ascii="宋体" w:hAnsi="宋体" w:eastAsia="宋体" w:cs="宋体"/>
                <w:bCs/>
                <w:color w:val="auto"/>
                <w:sz w:val="21"/>
                <w:szCs w:val="21"/>
              </w:rPr>
              <w:t>㎡</w:t>
            </w:r>
            <w:r>
              <w:rPr>
                <w:rFonts w:hint="eastAsia" w:hAnsi="仿宋_GB2312" w:cs="仿宋_GB2312"/>
                <w:bCs/>
                <w:color w:val="auto"/>
                <w:sz w:val="21"/>
                <w:szCs w:val="21"/>
              </w:rPr>
              <w:t>）</w:t>
            </w:r>
            <w:r>
              <w:rPr>
                <w:rFonts w:ascii="Times New Roman"/>
                <w:bCs/>
                <w:color w:val="auto"/>
                <w:sz w:val="21"/>
                <w:szCs w:val="21"/>
                <w:highlight w:val="none"/>
              </w:rPr>
              <w:t>：</w:t>
            </w:r>
            <w:r>
              <w:rPr>
                <w:rFonts w:hint="eastAsia" w:ascii="Times New Roman" w:hAnsi="Times New Roman" w:eastAsia="仿宋_GB2312" w:cs="Times New Roman"/>
                <w:bCs/>
                <w:color w:val="auto"/>
                <w:sz w:val="21"/>
                <w:szCs w:val="21"/>
                <w:highlight w:val="none"/>
                <w:shd w:val="clear" w:color="auto" w:fill="auto"/>
                <w:lang w:val="en-US" w:eastAsia="zh-CN"/>
              </w:rPr>
              <w:t>32,000</w:t>
            </w:r>
            <w:r>
              <w:rPr>
                <w:rFonts w:ascii="Times New Roman"/>
                <w:bCs/>
                <w:color w:val="auto"/>
                <w:sz w:val="21"/>
                <w:szCs w:val="21"/>
                <w:highlight w:val="none"/>
              </w:rPr>
              <w:t>元人民币/标准展位；</w:t>
            </w:r>
          </w:p>
          <w:p w14:paraId="055E17AA">
            <w:pPr>
              <w:keepNext w:val="0"/>
              <w:keepLines w:val="0"/>
              <w:pageBreakBefore w:val="0"/>
              <w:widowControl w:val="0"/>
              <w:shd w:val="clear" w:color="auto" w:fill="auto"/>
              <w:kinsoku/>
              <w:wordWrap/>
              <w:overflowPunct/>
              <w:topLinePunct w:val="0"/>
              <w:autoSpaceDE/>
              <w:autoSpaceDN/>
              <w:bidi w:val="0"/>
              <w:adjustRightInd/>
              <w:snapToGrid/>
              <w:spacing w:before="232" w:beforeLines="50" w:beforeAutospacing="0" w:line="300" w:lineRule="exact"/>
              <w:textAlignment w:val="auto"/>
              <w:rPr>
                <w:rFonts w:ascii="Times New Roman"/>
                <w:bCs/>
                <w:color w:val="auto"/>
                <w:sz w:val="21"/>
                <w:szCs w:val="21"/>
                <w:highlight w:val="none"/>
              </w:rPr>
            </w:pPr>
            <w:r>
              <w:rPr>
                <w:rFonts w:hint="default" w:ascii="Times New Roman" w:hAnsi="Times New Roman" w:eastAsia="仿宋_GB2312" w:cs="Times New Roman"/>
                <w:bCs/>
                <w:color w:val="auto"/>
                <w:sz w:val="21"/>
                <w:szCs w:val="21"/>
                <w:highlight w:val="none"/>
              </w:rPr>
              <w:t>2</w:t>
            </w:r>
            <w:r>
              <w:rPr>
                <w:rFonts w:ascii="Times New Roman"/>
                <w:bCs/>
                <w:color w:val="auto"/>
                <w:sz w:val="21"/>
                <w:szCs w:val="21"/>
                <w:highlight w:val="none"/>
              </w:rPr>
              <w:t>.</w:t>
            </w:r>
            <w:r>
              <w:rPr>
                <w:rFonts w:ascii="Times New Roman"/>
                <w:b/>
                <w:bCs w:val="0"/>
                <w:color w:val="auto"/>
                <w:sz w:val="21"/>
                <w:szCs w:val="21"/>
                <w:highlight w:val="none"/>
              </w:rPr>
              <w:t>光地展位费</w:t>
            </w:r>
          </w:p>
          <w:p w14:paraId="52C5068E">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Times New Roman"/>
                <w:bCs/>
                <w:color w:val="auto"/>
                <w:sz w:val="21"/>
                <w:szCs w:val="21"/>
                <w:highlight w:val="none"/>
              </w:rPr>
            </w:pPr>
            <w:r>
              <w:rPr>
                <w:rFonts w:ascii="Times New Roman"/>
                <w:bCs/>
                <w:color w:val="auto"/>
                <w:sz w:val="21"/>
                <w:szCs w:val="21"/>
                <w:highlight w:val="none"/>
                <w:u w:val="single"/>
              </w:rPr>
              <w:t xml:space="preserve">     </w:t>
            </w:r>
            <w:r>
              <w:rPr>
                <w:rFonts w:hint="eastAsia" w:ascii="Times New Roman"/>
                <w:bCs/>
                <w:color w:val="auto"/>
                <w:sz w:val="21"/>
                <w:szCs w:val="21"/>
                <w:highlight w:val="none"/>
                <w:u w:val="single"/>
                <w:lang w:val="en-US" w:eastAsia="zh-CN"/>
              </w:rPr>
              <w:t xml:space="preserve">  </w:t>
            </w:r>
            <w:r>
              <w:rPr>
                <w:rFonts w:ascii="Times New Roman"/>
                <w:bCs/>
                <w:color w:val="auto"/>
                <w:sz w:val="21"/>
                <w:szCs w:val="21"/>
                <w:highlight w:val="none"/>
                <w:u w:val="single"/>
              </w:rPr>
              <w:t xml:space="preserve"> </w:t>
            </w:r>
            <w:r>
              <w:rPr>
                <w:rFonts w:hint="eastAsia" w:ascii="宋体" w:hAnsi="宋体" w:eastAsia="宋体" w:cs="宋体"/>
                <w:bCs/>
                <w:color w:val="auto"/>
                <w:sz w:val="21"/>
                <w:szCs w:val="21"/>
                <w:highlight w:val="none"/>
                <w:u w:val="none"/>
              </w:rPr>
              <w:t>㎡</w:t>
            </w:r>
            <w:r>
              <w:rPr>
                <w:rFonts w:ascii="Times New Roman"/>
                <w:bCs/>
                <w:color w:val="auto"/>
                <w:sz w:val="21"/>
                <w:szCs w:val="21"/>
                <w:highlight w:val="none"/>
              </w:rPr>
              <w:t>：</w:t>
            </w:r>
            <w:r>
              <w:rPr>
                <w:rFonts w:hint="eastAsia" w:ascii="Times New Roman" w:hAnsi="Times New Roman" w:eastAsia="仿宋_GB2312" w:cs="Times New Roman"/>
                <w:bCs/>
                <w:color w:val="auto"/>
                <w:sz w:val="21"/>
                <w:szCs w:val="21"/>
                <w:highlight w:val="none"/>
                <w:lang w:val="en-US" w:eastAsia="zh-CN"/>
              </w:rPr>
              <w:t>2,900</w:t>
            </w:r>
            <w:r>
              <w:rPr>
                <w:rFonts w:ascii="Times New Roman"/>
                <w:bCs/>
                <w:color w:val="auto"/>
                <w:sz w:val="21"/>
                <w:szCs w:val="21"/>
                <w:highlight w:val="none"/>
              </w:rPr>
              <w:t>元人民币/</w:t>
            </w:r>
            <w:r>
              <w:rPr>
                <w:rFonts w:hint="eastAsia" w:ascii="宋体" w:hAnsi="宋体" w:eastAsia="宋体" w:cs="宋体"/>
                <w:bCs/>
                <w:color w:val="auto"/>
                <w:sz w:val="21"/>
                <w:szCs w:val="21"/>
                <w:highlight w:val="none"/>
              </w:rPr>
              <w:t>㎡</w:t>
            </w:r>
            <w:r>
              <w:rPr>
                <w:rFonts w:hint="eastAsia" w:hAnsi="仿宋_GB2312" w:cs="仿宋_GB2312"/>
                <w:bCs/>
                <w:color w:val="auto"/>
                <w:sz w:val="21"/>
                <w:szCs w:val="21"/>
                <w:highlight w:val="none"/>
              </w:rPr>
              <w:t>（</w:t>
            </w:r>
            <w:r>
              <w:rPr>
                <w:rFonts w:hint="eastAsia" w:ascii="Times New Roman" w:hAnsi="Times New Roman" w:eastAsia="仿宋_GB2312" w:cs="Times New Roman"/>
                <w:bCs/>
                <w:color w:val="auto"/>
                <w:sz w:val="21"/>
                <w:szCs w:val="21"/>
                <w:highlight w:val="none"/>
                <w:lang w:val="en-US" w:eastAsia="zh-CN"/>
              </w:rPr>
              <w:t>18</w:t>
            </w:r>
            <w:r>
              <w:rPr>
                <w:rFonts w:hint="eastAsia" w:ascii="宋体" w:hAnsi="宋体" w:eastAsia="宋体" w:cs="宋体"/>
                <w:bCs/>
                <w:color w:val="auto"/>
                <w:sz w:val="21"/>
                <w:szCs w:val="21"/>
                <w:highlight w:val="none"/>
              </w:rPr>
              <w:t>㎡</w:t>
            </w:r>
            <w:r>
              <w:rPr>
                <w:rFonts w:hint="eastAsia" w:hAnsi="仿宋_GB2312" w:cs="仿宋_GB2312"/>
                <w:bCs/>
                <w:color w:val="auto"/>
                <w:sz w:val="21"/>
                <w:szCs w:val="21"/>
                <w:highlight w:val="none"/>
              </w:rPr>
              <w:t>起订）</w:t>
            </w:r>
            <w:r>
              <w:rPr>
                <w:rFonts w:ascii="Times New Roman"/>
                <w:bCs/>
                <w:color w:val="auto"/>
                <w:sz w:val="21"/>
                <w:szCs w:val="21"/>
                <w:highlight w:val="none"/>
              </w:rPr>
              <w:t>；</w:t>
            </w:r>
          </w:p>
          <w:p w14:paraId="3305C8F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bCs/>
                <w:color w:val="auto"/>
                <w:sz w:val="18"/>
                <w:szCs w:val="18"/>
              </w:rPr>
            </w:pPr>
            <w:r>
              <w:rPr>
                <w:rFonts w:ascii="Times New Roman"/>
                <w:bCs/>
                <w:color w:val="auto"/>
                <w:sz w:val="21"/>
                <w:szCs w:val="21"/>
              </w:rPr>
              <w:t>以上费用合计：</w:t>
            </w:r>
            <w:r>
              <w:rPr>
                <w:rFonts w:ascii="Times New Roman"/>
                <w:bCs/>
                <w:color w:val="auto"/>
                <w:sz w:val="21"/>
                <w:szCs w:val="21"/>
                <w:u w:val="single"/>
              </w:rPr>
              <w:t xml:space="preserve">          </w:t>
            </w:r>
            <w:r>
              <w:rPr>
                <w:rFonts w:ascii="Times New Roman"/>
                <w:bCs/>
                <w:color w:val="auto"/>
                <w:sz w:val="21"/>
                <w:szCs w:val="21"/>
              </w:rPr>
              <w:t>元人民币</w:t>
            </w:r>
          </w:p>
        </w:tc>
        <w:tc>
          <w:tcPr>
            <w:tcW w:w="2587" w:type="dxa"/>
            <w:gridSpan w:val="2"/>
            <w:vMerge w:val="continue"/>
            <w:noWrap w:val="0"/>
            <w:vAlign w:val="top"/>
          </w:tcPr>
          <w:p w14:paraId="7E43A51D">
            <w:pPr>
              <w:widowControl/>
              <w:jc w:val="left"/>
              <w:rPr>
                <w:rFonts w:ascii="PMingLiU" w:hAnsi="PMingLiU" w:eastAsia="PMingLiU"/>
                <w:bCs/>
                <w:color w:val="auto"/>
                <w:sz w:val="18"/>
                <w:szCs w:val="18"/>
              </w:rPr>
            </w:pPr>
          </w:p>
        </w:tc>
      </w:tr>
      <w:tr w14:paraId="3069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692" w:type="dxa"/>
            <w:vMerge w:val="continue"/>
            <w:noWrap w:val="0"/>
            <w:vAlign w:val="top"/>
          </w:tcPr>
          <w:p w14:paraId="028AD133">
            <w:pPr>
              <w:spacing w:line="280" w:lineRule="exact"/>
              <w:ind w:firstLine="3045" w:firstLineChars="1450"/>
              <w:rPr>
                <w:color w:val="auto"/>
              </w:rPr>
            </w:pPr>
          </w:p>
        </w:tc>
        <w:tc>
          <w:tcPr>
            <w:tcW w:w="386" w:type="dxa"/>
            <w:vMerge w:val="continue"/>
            <w:noWrap w:val="0"/>
            <w:textDirection w:val="tbRlV"/>
            <w:vAlign w:val="center"/>
          </w:tcPr>
          <w:p w14:paraId="056D4F57">
            <w:pPr>
              <w:spacing w:line="280" w:lineRule="exact"/>
              <w:ind w:firstLine="3045" w:firstLineChars="1450"/>
              <w:rPr>
                <w:color w:val="auto"/>
              </w:rPr>
            </w:pPr>
          </w:p>
        </w:tc>
        <w:tc>
          <w:tcPr>
            <w:tcW w:w="6092" w:type="dxa"/>
            <w:gridSpan w:val="6"/>
            <w:noWrap w:val="0"/>
            <w:vAlign w:val="center"/>
          </w:tcPr>
          <w:p w14:paraId="358EEFC9">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Times New Roman" w:eastAsia="宋体"/>
                <w:bCs/>
                <w:color w:val="auto"/>
                <w:sz w:val="21"/>
                <w:szCs w:val="21"/>
                <w:highlight w:val="none"/>
                <w:lang w:val="en-US" w:eastAsia="zh-CN"/>
              </w:rPr>
            </w:pPr>
            <w:r>
              <w:rPr>
                <w:rFonts w:hint="default" w:ascii="Times New Roman" w:hAnsi="Times New Roman" w:eastAsia="仿宋_GB2312" w:cs="Times New Roman"/>
                <w:bCs/>
                <w:color w:val="auto"/>
                <w:sz w:val="21"/>
                <w:szCs w:val="21"/>
                <w:highlight w:val="none"/>
              </w:rPr>
              <w:t>3</w:t>
            </w:r>
            <w:r>
              <w:rPr>
                <w:rFonts w:ascii="Times New Roman"/>
                <w:bCs/>
                <w:color w:val="auto"/>
                <w:sz w:val="21"/>
                <w:szCs w:val="21"/>
                <w:highlight w:val="none"/>
              </w:rPr>
              <w:t>.</w:t>
            </w:r>
            <w:r>
              <w:rPr>
                <w:rFonts w:hint="eastAsia" w:ascii="Times New Roman"/>
                <w:bCs/>
                <w:color w:val="auto"/>
                <w:sz w:val="21"/>
                <w:szCs w:val="21"/>
                <w:highlight w:val="none"/>
                <w:lang w:val="en-US" w:eastAsia="zh-CN"/>
              </w:rPr>
              <w:t xml:space="preserve"> </w:t>
            </w:r>
            <w:r>
              <w:rPr>
                <w:rFonts w:hint="eastAsia" w:ascii="Times New Roman"/>
                <w:b/>
                <w:bCs w:val="0"/>
                <w:color w:val="auto"/>
                <w:sz w:val="21"/>
                <w:szCs w:val="21"/>
                <w:highlight w:val="none"/>
                <w:lang w:eastAsia="zh-CN"/>
              </w:rPr>
              <w:t>随团参展费用</w:t>
            </w:r>
          </w:p>
          <w:p w14:paraId="0015EDE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ascii="Times New Roman"/>
                <w:bCs/>
                <w:color w:val="auto"/>
                <w:sz w:val="21"/>
                <w:szCs w:val="21"/>
                <w:highlight w:val="none"/>
              </w:rPr>
            </w:pPr>
            <w:r>
              <w:rPr>
                <w:rFonts w:ascii="Times New Roman"/>
                <w:bCs/>
                <w:color w:val="auto"/>
                <w:sz w:val="21"/>
                <w:szCs w:val="21"/>
                <w:highlight w:val="none"/>
              </w:rPr>
              <w:t xml:space="preserve">是否随团： </w:t>
            </w:r>
            <w:r>
              <w:rPr>
                <w:rFonts w:ascii="Times New Roman"/>
                <w:bCs/>
                <w:color w:val="auto"/>
                <w:sz w:val="21"/>
                <w:szCs w:val="21"/>
                <w:highlight w:val="none"/>
              </w:rPr>
              <w:sym w:font="Wingdings 2" w:char="00A3"/>
            </w:r>
            <w:r>
              <w:rPr>
                <w:rFonts w:ascii="Times New Roman"/>
                <w:bCs/>
                <w:color w:val="auto"/>
                <w:sz w:val="21"/>
                <w:szCs w:val="21"/>
                <w:highlight w:val="none"/>
              </w:rPr>
              <w:t>是　　</w:t>
            </w:r>
            <w:r>
              <w:rPr>
                <w:rFonts w:ascii="Times New Roman"/>
                <w:bCs/>
                <w:color w:val="auto"/>
                <w:sz w:val="21"/>
                <w:szCs w:val="21"/>
                <w:highlight w:val="none"/>
              </w:rPr>
              <w:sym w:font="Wingdings 2" w:char="00A3"/>
            </w:r>
            <w:r>
              <w:rPr>
                <w:rFonts w:ascii="Times New Roman"/>
                <w:bCs/>
                <w:color w:val="auto"/>
                <w:sz w:val="21"/>
                <w:szCs w:val="21"/>
                <w:highlight w:val="none"/>
              </w:rPr>
              <w:t>否</w:t>
            </w:r>
          </w:p>
          <w:p w14:paraId="0330C3C0">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Times New Roman"/>
                <w:bCs/>
                <w:color w:val="auto"/>
                <w:sz w:val="21"/>
                <w:szCs w:val="21"/>
                <w:highlight w:val="none"/>
              </w:rPr>
            </w:pPr>
            <w:r>
              <w:rPr>
                <w:rFonts w:ascii="Times New Roman"/>
                <w:bCs/>
                <w:color w:val="auto"/>
                <w:sz w:val="21"/>
                <w:szCs w:val="21"/>
                <w:highlight w:val="none"/>
              </w:rPr>
              <w:t>随团代表</w:t>
            </w:r>
            <w:r>
              <w:rPr>
                <w:rFonts w:ascii="Times New Roman"/>
                <w:bCs/>
                <w:color w:val="auto"/>
                <w:sz w:val="21"/>
                <w:szCs w:val="21"/>
                <w:highlight w:val="none"/>
                <w:u w:val="single"/>
              </w:rPr>
              <w:t xml:space="preserve">         </w:t>
            </w:r>
            <w:r>
              <w:rPr>
                <w:rFonts w:ascii="Times New Roman"/>
                <w:bCs/>
                <w:color w:val="auto"/>
                <w:sz w:val="21"/>
                <w:szCs w:val="21"/>
                <w:highlight w:val="none"/>
              </w:rPr>
              <w:t>人，费用</w:t>
            </w:r>
            <w:r>
              <w:rPr>
                <w:rFonts w:hint="eastAsia" w:ascii="Times New Roman"/>
                <w:bCs/>
                <w:color w:val="auto"/>
                <w:sz w:val="21"/>
                <w:szCs w:val="21"/>
                <w:highlight w:val="none"/>
                <w:lang w:eastAsia="zh-CN"/>
              </w:rPr>
              <w:t>：</w:t>
            </w:r>
          </w:p>
          <w:p w14:paraId="607AE65B">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Times New Roman"/>
                <w:bCs/>
                <w:color w:val="auto"/>
                <w:sz w:val="21"/>
                <w:szCs w:val="21"/>
                <w:highlight w:val="none"/>
                <w:u w:val="none"/>
                <w:lang w:val="en" w:eastAsia="zh-CN"/>
              </w:rPr>
            </w:pPr>
            <w:r>
              <w:rPr>
                <w:rFonts w:hint="default" w:ascii="Times New Roman"/>
                <w:bCs/>
                <w:color w:val="auto"/>
                <w:sz w:val="21"/>
                <w:szCs w:val="21"/>
                <w:highlight w:val="none"/>
                <w:u w:val="none"/>
                <w:lang w:val="en" w:eastAsia="zh-CN"/>
              </w:rPr>
              <w:t>6天5晚，4星级酒店双人间，¥13,800元/人</w:t>
            </w:r>
          </w:p>
          <w:p w14:paraId="7147CC02">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Times New Roman"/>
                <w:bCs/>
                <w:color w:val="auto"/>
                <w:sz w:val="21"/>
                <w:szCs w:val="21"/>
                <w:highlight w:val="none"/>
              </w:rPr>
            </w:pPr>
            <w:r>
              <w:rPr>
                <w:rFonts w:hint="default" w:ascii="Times New Roman"/>
                <w:b/>
                <w:bCs w:val="0"/>
                <w:color w:val="auto"/>
                <w:sz w:val="21"/>
                <w:szCs w:val="21"/>
                <w:highlight w:val="none"/>
                <w:u w:val="none"/>
                <w:lang w:val="en" w:eastAsia="zh-CN"/>
              </w:rPr>
              <w:t>（广州</w:t>
            </w:r>
            <w:r>
              <w:rPr>
                <w:rFonts w:hint="eastAsia" w:ascii="Times New Roman"/>
                <w:b/>
                <w:bCs w:val="0"/>
                <w:color w:val="auto"/>
                <w:sz w:val="21"/>
                <w:szCs w:val="21"/>
                <w:highlight w:val="none"/>
                <w:u w:val="none"/>
                <w:lang w:val="en-US" w:eastAsia="zh-CN"/>
              </w:rPr>
              <w:t>集散</w:t>
            </w:r>
            <w:r>
              <w:rPr>
                <w:rFonts w:hint="default" w:ascii="Times New Roman"/>
                <w:b/>
                <w:bCs w:val="0"/>
                <w:color w:val="auto"/>
                <w:sz w:val="21"/>
                <w:szCs w:val="21"/>
                <w:highlight w:val="none"/>
                <w:u w:val="none"/>
                <w:lang w:val="en" w:eastAsia="zh-CN"/>
              </w:rPr>
              <w:t>，含往返国际机票</w:t>
            </w:r>
            <w:r>
              <w:rPr>
                <w:rFonts w:hint="eastAsia" w:ascii="Times New Roman"/>
                <w:b/>
                <w:bCs w:val="0"/>
                <w:color w:val="auto"/>
                <w:sz w:val="21"/>
                <w:szCs w:val="21"/>
                <w:highlight w:val="none"/>
                <w:u w:val="none"/>
                <w:lang w:val="en" w:eastAsia="zh-CN"/>
              </w:rPr>
              <w:t>；如需单人间，则需补房差</w:t>
            </w:r>
            <w:r>
              <w:rPr>
                <w:rFonts w:hint="default" w:ascii="Times New Roman"/>
                <w:b/>
                <w:bCs w:val="0"/>
                <w:color w:val="auto"/>
                <w:sz w:val="21"/>
                <w:szCs w:val="21"/>
                <w:highlight w:val="none"/>
                <w:u w:val="none"/>
                <w:lang w:val="en" w:eastAsia="zh-CN"/>
              </w:rPr>
              <w:t>）</w:t>
            </w:r>
          </w:p>
        </w:tc>
        <w:tc>
          <w:tcPr>
            <w:tcW w:w="2587" w:type="dxa"/>
            <w:gridSpan w:val="2"/>
            <w:vMerge w:val="continue"/>
            <w:noWrap w:val="0"/>
            <w:vAlign w:val="top"/>
          </w:tcPr>
          <w:p w14:paraId="133DBB92">
            <w:pPr>
              <w:spacing w:line="280" w:lineRule="exact"/>
              <w:ind w:firstLine="3045" w:firstLineChars="1450"/>
              <w:rPr>
                <w:rFonts w:ascii="Times New Roman"/>
                <w:bCs/>
                <w:color w:val="auto"/>
                <w:sz w:val="21"/>
                <w:szCs w:val="21"/>
              </w:rPr>
            </w:pPr>
          </w:p>
        </w:tc>
      </w:tr>
      <w:tr w14:paraId="2919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jc w:val="center"/>
        </w:trPr>
        <w:tc>
          <w:tcPr>
            <w:tcW w:w="692" w:type="dxa"/>
            <w:vMerge w:val="restart"/>
            <w:noWrap w:val="0"/>
            <w:vAlign w:val="center"/>
          </w:tcPr>
          <w:p w14:paraId="147819E1">
            <w:pPr>
              <w:jc w:val="center"/>
              <w:rPr>
                <w:rFonts w:ascii="黑体" w:hAnsi="黑体" w:eastAsia="黑体" w:cs="黑体"/>
                <w:color w:val="auto"/>
                <w:sz w:val="24"/>
              </w:rPr>
            </w:pPr>
            <w:r>
              <w:rPr>
                <w:rFonts w:hint="eastAsia" w:ascii="黑体" w:hAnsi="黑体" w:eastAsia="黑体" w:cs="黑体"/>
                <w:color w:val="auto"/>
                <w:sz w:val="24"/>
              </w:rPr>
              <w:t>付</w:t>
            </w:r>
          </w:p>
          <w:p w14:paraId="6137291E">
            <w:pPr>
              <w:jc w:val="center"/>
              <w:rPr>
                <w:rFonts w:ascii="黑体" w:hAnsi="黑体" w:eastAsia="黑体" w:cs="黑体"/>
                <w:color w:val="auto"/>
                <w:sz w:val="24"/>
              </w:rPr>
            </w:pPr>
            <w:r>
              <w:rPr>
                <w:rFonts w:hint="eastAsia" w:ascii="黑体" w:hAnsi="黑体" w:eastAsia="黑体" w:cs="黑体"/>
                <w:color w:val="auto"/>
                <w:sz w:val="24"/>
              </w:rPr>
              <w:t>款</w:t>
            </w:r>
          </w:p>
          <w:p w14:paraId="06BF740A">
            <w:pPr>
              <w:jc w:val="center"/>
              <w:rPr>
                <w:rFonts w:ascii="PMingLiU" w:hAnsi="PMingLiU" w:eastAsia="PMingLiU"/>
                <w:bCs/>
                <w:color w:val="auto"/>
              </w:rPr>
            </w:pPr>
            <w:r>
              <w:rPr>
                <w:rFonts w:hint="eastAsia" w:ascii="黑体" w:hAnsi="黑体" w:eastAsia="黑体" w:cs="黑体"/>
                <w:color w:val="auto"/>
                <w:sz w:val="24"/>
              </w:rPr>
              <w:t>及联系方式</w:t>
            </w:r>
          </w:p>
        </w:tc>
        <w:tc>
          <w:tcPr>
            <w:tcW w:w="9065" w:type="dxa"/>
            <w:gridSpan w:val="9"/>
            <w:noWrap w:val="0"/>
            <w:vAlign w:val="center"/>
          </w:tcPr>
          <w:p w14:paraId="353351B2">
            <w:pPr>
              <w:spacing w:line="340" w:lineRule="exact"/>
              <w:outlineLvl w:val="0"/>
              <w:rPr>
                <w:rFonts w:hint="eastAsia" w:hAnsi="仿宋_GB2312" w:cs="仿宋_GB2312"/>
                <w:bCs/>
                <w:color w:val="auto"/>
                <w:sz w:val="21"/>
                <w:szCs w:val="21"/>
              </w:rPr>
            </w:pPr>
            <w:r>
              <w:rPr>
                <w:rFonts w:hint="eastAsia" w:hAnsi="仿宋_GB2312" w:cs="仿宋_GB2312"/>
                <w:bCs/>
                <w:color w:val="auto"/>
                <w:sz w:val="21"/>
                <w:szCs w:val="21"/>
                <w:lang w:val="en-US" w:eastAsia="zh-CN"/>
              </w:rPr>
              <w:t>展位费用请汇</w:t>
            </w:r>
            <w:r>
              <w:rPr>
                <w:rFonts w:hint="eastAsia" w:hAnsi="仿宋_GB2312" w:cs="仿宋_GB2312"/>
                <w:bCs/>
                <w:color w:val="auto"/>
                <w:sz w:val="21"/>
                <w:szCs w:val="21"/>
              </w:rPr>
              <w:t>付至以下账户</w:t>
            </w:r>
            <w:r>
              <w:rPr>
                <w:rFonts w:hint="eastAsia" w:hAnsi="仿宋_GB2312" w:cs="仿宋_GB2312"/>
                <w:bCs/>
                <w:color w:val="auto"/>
                <w:sz w:val="21"/>
                <w:szCs w:val="21"/>
                <w:lang w:eastAsia="zh-CN"/>
              </w:rPr>
              <w:t>：</w:t>
            </w:r>
          </w:p>
          <w:p w14:paraId="078CF7D6">
            <w:pPr>
              <w:spacing w:line="340" w:lineRule="exact"/>
              <w:outlineLvl w:val="0"/>
              <w:rPr>
                <w:rFonts w:ascii="Times New Roman"/>
                <w:bCs/>
                <w:color w:val="auto"/>
                <w:sz w:val="21"/>
                <w:szCs w:val="21"/>
              </w:rPr>
            </w:pPr>
            <w:r>
              <w:rPr>
                <w:rFonts w:hint="eastAsia" w:ascii="黑体" w:hAnsi="黑体" w:eastAsia="黑体"/>
                <w:bCs/>
                <w:color w:val="auto"/>
                <w:sz w:val="21"/>
                <w:szCs w:val="21"/>
              </w:rPr>
              <w:t>账户名称：</w:t>
            </w:r>
            <w:r>
              <w:rPr>
                <w:rFonts w:hint="eastAsia" w:ascii="Times New Roman"/>
                <w:bCs/>
                <w:color w:val="auto"/>
                <w:sz w:val="21"/>
                <w:szCs w:val="21"/>
              </w:rPr>
              <w:t>广西国际博览事务局</w:t>
            </w:r>
          </w:p>
          <w:p w14:paraId="17BB2E45">
            <w:pPr>
              <w:spacing w:line="340" w:lineRule="exact"/>
              <w:outlineLvl w:val="0"/>
              <w:rPr>
                <w:rFonts w:ascii="Times New Roman"/>
                <w:bCs/>
                <w:color w:val="auto"/>
                <w:sz w:val="21"/>
                <w:szCs w:val="21"/>
              </w:rPr>
            </w:pPr>
            <w:r>
              <w:rPr>
                <w:rFonts w:hint="eastAsia" w:ascii="黑体" w:hAnsi="黑体" w:eastAsia="黑体"/>
                <w:bCs/>
                <w:color w:val="auto"/>
                <w:sz w:val="21"/>
                <w:szCs w:val="21"/>
              </w:rPr>
              <w:t>账    号：</w:t>
            </w:r>
            <w:r>
              <w:rPr>
                <w:rFonts w:hint="default" w:ascii="Times New Roman" w:hAnsi="Times New Roman" w:eastAsia="仿宋_GB2312" w:cs="Times New Roman"/>
                <w:bCs/>
                <w:color w:val="auto"/>
                <w:sz w:val="21"/>
                <w:szCs w:val="21"/>
              </w:rPr>
              <w:t>8000</w:t>
            </w:r>
            <w:r>
              <w:rPr>
                <w:rFonts w:hint="eastAsia" w:ascii="Times New Roman" w:hAnsi="Times New Roman" w:cs="Times New Roman"/>
                <w:bCs/>
                <w:color w:val="auto"/>
                <w:sz w:val="21"/>
                <w:szCs w:val="21"/>
                <w:lang w:val="en-US" w:eastAsia="zh-CN"/>
              </w:rPr>
              <w:t xml:space="preserve"> </w:t>
            </w:r>
            <w:r>
              <w:rPr>
                <w:rFonts w:hint="default" w:ascii="Times New Roman" w:hAnsi="Times New Roman" w:eastAsia="仿宋_GB2312" w:cs="Times New Roman"/>
                <w:bCs/>
                <w:color w:val="auto"/>
                <w:sz w:val="21"/>
                <w:szCs w:val="21"/>
              </w:rPr>
              <w:t>5589</w:t>
            </w:r>
            <w:r>
              <w:rPr>
                <w:rFonts w:hint="eastAsia" w:ascii="Times New Roman" w:hAnsi="Times New Roman" w:cs="Times New Roman"/>
                <w:bCs/>
                <w:color w:val="auto"/>
                <w:sz w:val="21"/>
                <w:szCs w:val="21"/>
                <w:lang w:val="en-US" w:eastAsia="zh-CN"/>
              </w:rPr>
              <w:t xml:space="preserve"> </w:t>
            </w:r>
            <w:r>
              <w:rPr>
                <w:rFonts w:hint="default" w:ascii="Times New Roman" w:hAnsi="Times New Roman" w:eastAsia="仿宋_GB2312" w:cs="Times New Roman"/>
                <w:bCs/>
                <w:color w:val="auto"/>
                <w:sz w:val="21"/>
                <w:szCs w:val="21"/>
              </w:rPr>
              <w:t>4766</w:t>
            </w:r>
            <w:r>
              <w:rPr>
                <w:rFonts w:hint="eastAsia" w:ascii="Times New Roman" w:hAnsi="Times New Roman" w:cs="Times New Roman"/>
                <w:bCs/>
                <w:color w:val="auto"/>
                <w:sz w:val="21"/>
                <w:szCs w:val="21"/>
                <w:lang w:val="en-US" w:eastAsia="zh-CN"/>
              </w:rPr>
              <w:t xml:space="preserve"> </w:t>
            </w:r>
            <w:r>
              <w:rPr>
                <w:rFonts w:hint="default" w:ascii="Times New Roman" w:hAnsi="Times New Roman" w:eastAsia="仿宋_GB2312" w:cs="Times New Roman"/>
                <w:bCs/>
                <w:color w:val="auto"/>
                <w:sz w:val="21"/>
                <w:szCs w:val="21"/>
              </w:rPr>
              <w:t>666</w:t>
            </w:r>
          </w:p>
          <w:p w14:paraId="2E1CBEBF">
            <w:pPr>
              <w:widowControl/>
              <w:jc w:val="both"/>
              <w:rPr>
                <w:rFonts w:hint="eastAsia" w:ascii="黑体" w:hAnsi="黑体" w:eastAsia="黑体"/>
                <w:bCs/>
                <w:color w:val="auto"/>
                <w:sz w:val="21"/>
                <w:szCs w:val="21"/>
              </w:rPr>
            </w:pPr>
            <w:r>
              <w:rPr>
                <w:rFonts w:hint="eastAsia" w:ascii="黑体" w:hAnsi="黑体" w:eastAsia="黑体"/>
                <w:bCs/>
                <w:color w:val="auto"/>
                <w:sz w:val="21"/>
                <w:szCs w:val="21"/>
              </w:rPr>
              <w:t>开 户 行：</w:t>
            </w:r>
            <w:r>
              <w:rPr>
                <w:rFonts w:hint="eastAsia" w:ascii="Times New Roman"/>
                <w:bCs/>
                <w:color w:val="auto"/>
                <w:sz w:val="21"/>
                <w:szCs w:val="21"/>
              </w:rPr>
              <w:t>广西北部湾银行南宁市秀厢支行</w:t>
            </w:r>
          </w:p>
        </w:tc>
      </w:tr>
      <w:tr w14:paraId="2A48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jc w:val="center"/>
        </w:trPr>
        <w:tc>
          <w:tcPr>
            <w:tcW w:w="692" w:type="dxa"/>
            <w:vMerge w:val="continue"/>
            <w:noWrap w:val="0"/>
            <w:vAlign w:val="top"/>
          </w:tcPr>
          <w:p w14:paraId="71A11782">
            <w:pPr>
              <w:rPr>
                <w:rFonts w:ascii="PMingLiU" w:hAnsi="PMingLiU" w:eastAsia="PMingLiU"/>
                <w:b/>
                <w:bCs/>
                <w:color w:val="auto"/>
              </w:rPr>
            </w:pPr>
          </w:p>
        </w:tc>
        <w:tc>
          <w:tcPr>
            <w:tcW w:w="9065" w:type="dxa"/>
            <w:gridSpan w:val="9"/>
            <w:noWrap w:val="0"/>
            <w:vAlign w:val="center"/>
          </w:tcPr>
          <w:p w14:paraId="6862E25A">
            <w:pPr>
              <w:spacing w:line="240" w:lineRule="auto"/>
              <w:rPr>
                <w:rFonts w:hint="eastAsia" w:ascii="Times New Roman"/>
                <w:color w:val="auto"/>
                <w:sz w:val="21"/>
                <w:szCs w:val="21"/>
                <w:lang w:eastAsia="zh-CN"/>
              </w:rPr>
            </w:pPr>
            <w:r>
              <w:rPr>
                <w:rFonts w:ascii="Times New Roman"/>
                <w:color w:val="auto"/>
                <w:sz w:val="21"/>
                <w:szCs w:val="21"/>
              </w:rPr>
              <w:t>联系方式：</w:t>
            </w:r>
            <w:r>
              <w:rPr>
                <w:rFonts w:hint="eastAsia" w:ascii="Times New Roman"/>
                <w:color w:val="auto"/>
                <w:sz w:val="21"/>
                <w:szCs w:val="21"/>
                <w:lang w:eastAsia="zh-CN"/>
              </w:rPr>
              <w:t>中国—东盟博览会秘书处</w:t>
            </w:r>
          </w:p>
          <w:p w14:paraId="1308F27B">
            <w:pPr>
              <w:spacing w:line="240" w:lineRule="auto"/>
              <w:rPr>
                <w:rFonts w:ascii="Times New Roman"/>
                <w:color w:val="auto"/>
                <w:sz w:val="21"/>
                <w:szCs w:val="21"/>
              </w:rPr>
            </w:pPr>
            <w:r>
              <w:rPr>
                <w:rFonts w:ascii="Times New Roman"/>
                <w:color w:val="auto"/>
                <w:sz w:val="21"/>
                <w:szCs w:val="21"/>
              </w:rPr>
              <w:t>地址：广西南宁市会展路</w:t>
            </w:r>
            <w:r>
              <w:rPr>
                <w:rFonts w:hint="default" w:ascii="Times New Roman" w:hAnsi="Times New Roman" w:eastAsia="仿宋_GB2312" w:cs="Times New Roman"/>
                <w:color w:val="auto"/>
                <w:sz w:val="21"/>
                <w:szCs w:val="21"/>
                <w:shd w:val="clear" w:color="auto" w:fill="FFFFFF"/>
                <w:lang w:val="en-US" w:eastAsia="zh-CN"/>
              </w:rPr>
              <w:t>18</w:t>
            </w:r>
            <w:r>
              <w:rPr>
                <w:rFonts w:ascii="Times New Roman"/>
                <w:color w:val="auto"/>
                <w:sz w:val="21"/>
                <w:szCs w:val="21"/>
              </w:rPr>
              <w:t>号</w:t>
            </w:r>
            <w:r>
              <w:rPr>
                <w:rFonts w:hint="eastAsia" w:ascii="Times New Roman"/>
                <w:color w:val="auto"/>
                <w:sz w:val="21"/>
                <w:szCs w:val="21"/>
                <w:lang w:val="en-US" w:eastAsia="zh-CN"/>
              </w:rPr>
              <w:t>会展大厦</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2</w:t>
            </w:r>
            <w:r>
              <w:rPr>
                <w:rFonts w:ascii="Times New Roman"/>
                <w:color w:val="auto"/>
                <w:sz w:val="21"/>
                <w:szCs w:val="21"/>
              </w:rPr>
              <w:t xml:space="preserve">楼       </w:t>
            </w:r>
          </w:p>
          <w:p w14:paraId="29C739D4">
            <w:pPr>
              <w:spacing w:line="240" w:lineRule="auto"/>
              <w:rPr>
                <w:rFonts w:hint="default" w:ascii="Times New Roman" w:eastAsia="仿宋_GB2312"/>
                <w:color w:val="auto"/>
                <w:sz w:val="21"/>
                <w:szCs w:val="21"/>
                <w:lang w:val="en-US" w:eastAsia="zh-CN"/>
              </w:rPr>
            </w:pPr>
            <w:r>
              <w:rPr>
                <w:rFonts w:ascii="Times New Roman"/>
                <w:color w:val="auto"/>
                <w:sz w:val="21"/>
                <w:szCs w:val="21"/>
              </w:rPr>
              <w:t>电话：</w:t>
            </w:r>
            <w:r>
              <w:rPr>
                <w:rFonts w:hint="default" w:ascii="Times New Roman" w:hAnsi="Times New Roman" w:eastAsia="仿宋_GB2312" w:cs="Times New Roman"/>
                <w:color w:val="auto"/>
                <w:sz w:val="21"/>
                <w:szCs w:val="21"/>
              </w:rPr>
              <w:t>0771</w:t>
            </w:r>
            <w:r>
              <w:rPr>
                <w:rFonts w:hint="eastAsia" w:ascii="仿宋_GB2312" w:hAnsi="仿宋_GB2312" w:cs="仿宋_GB2312"/>
                <w:color w:val="auto"/>
                <w:sz w:val="21"/>
                <w:szCs w:val="21"/>
              </w:rPr>
              <w:t>—</w:t>
            </w:r>
            <w:r>
              <w:rPr>
                <w:rFonts w:hint="default" w:ascii="Times New Roman" w:hAnsi="Times New Roman" w:eastAsia="仿宋_GB2312" w:cs="Times New Roman"/>
                <w:color w:val="auto"/>
                <w:sz w:val="21"/>
                <w:szCs w:val="21"/>
                <w:lang w:val="en-US" w:eastAsia="zh-CN"/>
              </w:rPr>
              <w:t>5813198</w:t>
            </w:r>
            <w:r>
              <w:rPr>
                <w:rFonts w:ascii="Times New Roman"/>
                <w:color w:val="auto"/>
                <w:sz w:val="21"/>
                <w:szCs w:val="21"/>
              </w:rPr>
              <w:t xml:space="preserve">                传真：</w:t>
            </w:r>
            <w:r>
              <w:rPr>
                <w:rFonts w:hint="default" w:ascii="Times New Roman" w:hAnsi="Times New Roman" w:eastAsia="仿宋_GB2312" w:cs="Times New Roman"/>
                <w:color w:val="auto"/>
                <w:sz w:val="21"/>
                <w:szCs w:val="21"/>
              </w:rPr>
              <w:t>0771</w:t>
            </w:r>
            <w:r>
              <w:rPr>
                <w:rFonts w:hint="eastAsia" w:ascii="仿宋_GB2312" w:hAnsi="仿宋_GB2312" w:cs="仿宋_GB2312"/>
                <w:color w:val="auto"/>
                <w:sz w:val="21"/>
                <w:szCs w:val="21"/>
              </w:rPr>
              <w:t>—</w:t>
            </w:r>
            <w:r>
              <w:rPr>
                <w:rFonts w:hint="default" w:ascii="Times New Roman" w:hAnsi="Times New Roman" w:eastAsia="仿宋_GB2312" w:cs="Times New Roman"/>
                <w:color w:val="auto"/>
                <w:sz w:val="21"/>
                <w:szCs w:val="21"/>
                <w:lang w:val="en-US" w:eastAsia="zh-CN"/>
              </w:rPr>
              <w:t>5813355</w:t>
            </w:r>
          </w:p>
          <w:p w14:paraId="7D591C78">
            <w:pPr>
              <w:widowControl/>
              <w:spacing w:line="240" w:lineRule="auto"/>
              <w:jc w:val="both"/>
              <w:rPr>
                <w:rFonts w:ascii="PMingLiU" w:hAnsi="PMingLiU" w:eastAsia="PMingLiU"/>
                <w:b/>
                <w:bCs/>
                <w:color w:val="auto"/>
                <w:sz w:val="18"/>
                <w:szCs w:val="18"/>
              </w:rPr>
            </w:pPr>
            <w:r>
              <w:rPr>
                <w:rFonts w:ascii="Times New Roman"/>
                <w:color w:val="auto"/>
                <w:sz w:val="21"/>
                <w:szCs w:val="21"/>
              </w:rPr>
              <w:t>E-mail</w:t>
            </w:r>
            <w:r>
              <w:rPr>
                <w:rFonts w:hint="eastAsia" w:ascii="Times New Roman"/>
                <w:color w:val="auto"/>
                <w:sz w:val="21"/>
                <w:szCs w:val="21"/>
                <w:lang w:eastAsia="zh-CN"/>
              </w:rPr>
              <w:t xml:space="preserve">: </w:t>
            </w:r>
            <w:r>
              <w:rPr>
                <w:rFonts w:hint="eastAsia" w:ascii="Times New Roman"/>
                <w:color w:val="auto"/>
                <w:sz w:val="21"/>
                <w:szCs w:val="21"/>
                <w:lang w:val="en-US" w:eastAsia="zh-CN"/>
              </w:rPr>
              <w:t>liaison</w:t>
            </w:r>
            <w:r>
              <w:rPr>
                <w:rFonts w:ascii="Times New Roman"/>
                <w:color w:val="auto"/>
                <w:sz w:val="21"/>
                <w:szCs w:val="21"/>
              </w:rPr>
              <w:t>@</w:t>
            </w:r>
            <w:r>
              <w:rPr>
                <w:rFonts w:hint="eastAsia" w:ascii="Times New Roman"/>
                <w:color w:val="auto"/>
                <w:sz w:val="21"/>
                <w:szCs w:val="21"/>
                <w:lang w:val="en-US" w:eastAsia="zh-CN"/>
              </w:rPr>
              <w:t>caexpo.org</w:t>
            </w:r>
            <w:r>
              <w:rPr>
                <w:rFonts w:ascii="Times New Roman"/>
                <w:color w:val="auto"/>
                <w:sz w:val="21"/>
                <w:szCs w:val="21"/>
              </w:rPr>
              <w:t xml:space="preserve">    </w:t>
            </w:r>
            <w:r>
              <w:rPr>
                <w:rFonts w:hint="eastAsia" w:ascii="Times New Roman"/>
                <w:color w:val="auto"/>
                <w:sz w:val="21"/>
                <w:szCs w:val="21"/>
              </w:rPr>
              <w:t xml:space="preserve"> </w:t>
            </w:r>
          </w:p>
        </w:tc>
      </w:tr>
      <w:tr w14:paraId="548C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0" w:hRule="atLeast"/>
          <w:jc w:val="center"/>
        </w:trPr>
        <w:tc>
          <w:tcPr>
            <w:tcW w:w="692" w:type="dxa"/>
            <w:noWrap w:val="0"/>
            <w:vAlign w:val="center"/>
          </w:tcPr>
          <w:p w14:paraId="46657C61">
            <w:pPr>
              <w:ind w:left="630" w:leftChars="300" w:right="-867" w:rightChars="-413"/>
              <w:jc w:val="center"/>
              <w:rPr>
                <w:rFonts w:ascii="黑体" w:hAnsi="黑体" w:eastAsia="黑体" w:cs="黑体"/>
                <w:color w:val="auto"/>
                <w:sz w:val="24"/>
                <w:szCs w:val="24"/>
              </w:rPr>
            </w:pPr>
            <w:r>
              <w:rPr>
                <w:rFonts w:hint="eastAsia" w:ascii="黑体" w:hAnsi="黑体" w:eastAsia="黑体" w:cs="黑体"/>
                <w:color w:val="auto"/>
                <w:sz w:val="24"/>
                <w:szCs w:val="24"/>
              </w:rPr>
              <w:t>参</w:t>
            </w:r>
          </w:p>
          <w:p w14:paraId="0D9C1B17">
            <w:pPr>
              <w:jc w:val="center"/>
              <w:rPr>
                <w:rFonts w:ascii="黑体" w:hAnsi="黑体" w:eastAsia="黑体" w:cs="黑体"/>
                <w:color w:val="auto"/>
                <w:sz w:val="24"/>
                <w:szCs w:val="24"/>
              </w:rPr>
            </w:pPr>
            <w:r>
              <w:rPr>
                <w:rFonts w:hint="eastAsia" w:ascii="黑体" w:hAnsi="黑体" w:eastAsia="黑体" w:cs="黑体"/>
                <w:color w:val="auto"/>
                <w:sz w:val="24"/>
                <w:szCs w:val="24"/>
                <w:lang w:val="en-US" w:eastAsia="zh-CN"/>
              </w:rPr>
              <w:t>参</w:t>
            </w:r>
            <w:r>
              <w:rPr>
                <w:rFonts w:hint="eastAsia" w:ascii="黑体" w:hAnsi="黑体" w:eastAsia="黑体" w:cs="黑体"/>
                <w:color w:val="auto"/>
                <w:sz w:val="24"/>
                <w:szCs w:val="24"/>
              </w:rPr>
              <w:t>展</w:t>
            </w:r>
          </w:p>
          <w:p w14:paraId="18BCAF0D">
            <w:pPr>
              <w:jc w:val="center"/>
              <w:rPr>
                <w:rFonts w:ascii="黑体" w:hAnsi="黑体" w:eastAsia="黑体" w:cs="黑体"/>
                <w:color w:val="auto"/>
                <w:sz w:val="24"/>
                <w:szCs w:val="24"/>
              </w:rPr>
            </w:pPr>
            <w:r>
              <w:rPr>
                <w:rFonts w:hint="eastAsia" w:ascii="黑体" w:hAnsi="黑体" w:eastAsia="黑体" w:cs="黑体"/>
                <w:color w:val="auto"/>
                <w:sz w:val="24"/>
                <w:szCs w:val="24"/>
              </w:rPr>
              <w:t>协</w:t>
            </w:r>
          </w:p>
          <w:p w14:paraId="0C4C05B7">
            <w:pPr>
              <w:jc w:val="center"/>
              <w:rPr>
                <w:rFonts w:ascii="黑体" w:hAnsi="黑体" w:eastAsia="黑体" w:cs="黑体"/>
                <w:color w:val="auto"/>
                <w:sz w:val="24"/>
                <w:szCs w:val="24"/>
              </w:rPr>
            </w:pPr>
            <w:r>
              <w:rPr>
                <w:rFonts w:hint="eastAsia" w:ascii="黑体" w:hAnsi="黑体" w:eastAsia="黑体" w:cs="黑体"/>
                <w:color w:val="auto"/>
                <w:sz w:val="24"/>
                <w:szCs w:val="24"/>
              </w:rPr>
              <w:t>议</w:t>
            </w:r>
          </w:p>
          <w:p w14:paraId="51FBD4D3">
            <w:pPr>
              <w:jc w:val="center"/>
              <w:rPr>
                <w:rFonts w:ascii="黑体" w:hAnsi="黑体" w:eastAsia="黑体" w:cs="黑体"/>
                <w:color w:val="auto"/>
                <w:sz w:val="24"/>
                <w:szCs w:val="24"/>
              </w:rPr>
            </w:pPr>
            <w:r>
              <w:rPr>
                <w:rFonts w:hint="eastAsia" w:ascii="黑体" w:hAnsi="黑体" w:eastAsia="黑体" w:cs="黑体"/>
                <w:color w:val="auto"/>
                <w:sz w:val="24"/>
                <w:szCs w:val="24"/>
              </w:rPr>
              <w:t>相</w:t>
            </w:r>
          </w:p>
          <w:p w14:paraId="4A87B771">
            <w:pPr>
              <w:jc w:val="center"/>
              <w:rPr>
                <w:rFonts w:ascii="黑体" w:hAnsi="黑体" w:eastAsia="黑体" w:cs="黑体"/>
                <w:color w:val="auto"/>
                <w:sz w:val="24"/>
                <w:szCs w:val="24"/>
              </w:rPr>
            </w:pPr>
            <w:r>
              <w:rPr>
                <w:rFonts w:hint="eastAsia" w:ascii="黑体" w:hAnsi="黑体" w:eastAsia="黑体" w:cs="黑体"/>
                <w:color w:val="auto"/>
                <w:sz w:val="24"/>
                <w:szCs w:val="24"/>
              </w:rPr>
              <w:t>关</w:t>
            </w:r>
          </w:p>
          <w:p w14:paraId="63E8DDE1">
            <w:pPr>
              <w:jc w:val="center"/>
              <w:rPr>
                <w:rFonts w:ascii="黑体" w:hAnsi="黑体" w:eastAsia="黑体" w:cs="黑体"/>
                <w:color w:val="auto"/>
                <w:sz w:val="24"/>
                <w:szCs w:val="24"/>
              </w:rPr>
            </w:pPr>
            <w:r>
              <w:rPr>
                <w:rFonts w:hint="eastAsia" w:ascii="黑体" w:hAnsi="黑体" w:eastAsia="黑体" w:cs="黑体"/>
                <w:color w:val="auto"/>
                <w:sz w:val="24"/>
                <w:szCs w:val="24"/>
              </w:rPr>
              <w:t>说</w:t>
            </w:r>
          </w:p>
          <w:p w14:paraId="6C24DE21">
            <w:pPr>
              <w:jc w:val="center"/>
              <w:rPr>
                <w:rFonts w:ascii="PMingLiU" w:hAnsi="PMingLiU" w:eastAsia="PMingLiU"/>
                <w:color w:val="auto"/>
                <w:szCs w:val="21"/>
              </w:rPr>
            </w:pPr>
            <w:r>
              <w:rPr>
                <w:rFonts w:hint="eastAsia" w:ascii="黑体" w:hAnsi="黑体" w:eastAsia="黑体" w:cs="黑体"/>
                <w:color w:val="auto"/>
                <w:sz w:val="24"/>
                <w:szCs w:val="24"/>
              </w:rPr>
              <w:t>明</w:t>
            </w:r>
          </w:p>
        </w:tc>
        <w:tc>
          <w:tcPr>
            <w:tcW w:w="9065" w:type="dxa"/>
            <w:gridSpan w:val="9"/>
            <w:noWrap w:val="0"/>
            <w:vAlign w:val="top"/>
          </w:tcPr>
          <w:p w14:paraId="0109349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r>
              <w:rPr>
                <w:rFonts w:hint="default" w:ascii="Times New Roman" w:hAnsi="Times New Roman" w:cs="Times New Roman"/>
                <w:color w:val="auto"/>
                <w:sz w:val="21"/>
                <w:szCs w:val="21"/>
              </w:rPr>
              <w:t xml:space="preserve">在双方充分了解展会信息基础上，组团单位与参展企业在平等自愿的基础上签订此参展协议； </w:t>
            </w:r>
          </w:p>
          <w:p w14:paraId="27EDBDD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r>
              <w:rPr>
                <w:rFonts w:hint="default" w:ascii="Times New Roman" w:hAnsi="Times New Roman" w:cs="Times New Roman"/>
                <w:color w:val="auto"/>
                <w:sz w:val="21"/>
                <w:szCs w:val="21"/>
              </w:rPr>
              <w:t>以上表格内容将作为申报批文及出展楣板文字、宣传资料的重要依据，参展企业务必认真填写；</w:t>
            </w:r>
            <w:r>
              <w:rPr>
                <w:rFonts w:hint="default" w:ascii="Times New Roman" w:hAnsi="Times New Roman" w:eastAsia="仿宋_GB2312" w:cs="Times New Roman"/>
                <w:color w:val="auto"/>
                <w:sz w:val="21"/>
                <w:szCs w:val="21"/>
              </w:rPr>
              <w:t xml:space="preserve"> </w:t>
            </w:r>
          </w:p>
          <w:p w14:paraId="198287E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r>
              <w:rPr>
                <w:rFonts w:hint="default" w:ascii="Times New Roman" w:hAnsi="Times New Roman" w:cs="Times New Roman"/>
                <w:color w:val="auto"/>
                <w:sz w:val="21"/>
                <w:szCs w:val="21"/>
              </w:rPr>
              <w:t xml:space="preserve">参展企业必须遵守展会组委会的展会有关规定，如违规参展企业有可能受到相应的处罚；    </w:t>
            </w:r>
          </w:p>
          <w:p w14:paraId="45738B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rPr>
              <w:t>严禁有知识产权争议的产品参展，企业携带侵权产品或假冒伪劣商品参展而引起的法律纠纷与组团单位无关；</w:t>
            </w:r>
          </w:p>
          <w:p w14:paraId="50D3D85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5.</w:t>
            </w:r>
            <w:r>
              <w:rPr>
                <w:rFonts w:hint="default" w:ascii="Times New Roman" w:hAnsi="Times New Roman" w:cs="Times New Roman"/>
                <w:color w:val="auto"/>
                <w:sz w:val="21"/>
                <w:szCs w:val="21"/>
              </w:rPr>
              <w:t>为了保证顺利参展，参展企业务必按组团单位的</w:t>
            </w:r>
            <w:r>
              <w:rPr>
                <w:rFonts w:hint="eastAsia" w:ascii="宋体" w:hAnsi="宋体" w:eastAsia="宋体" w:cs="宋体"/>
                <w:color w:val="auto"/>
                <w:sz w:val="21"/>
                <w:szCs w:val="21"/>
              </w:rPr>
              <w:t>“</w:t>
            </w:r>
            <w:r>
              <w:rPr>
                <w:rFonts w:hint="default" w:ascii="Times New Roman" w:hAnsi="Times New Roman" w:cs="Times New Roman"/>
                <w:color w:val="auto"/>
                <w:sz w:val="21"/>
                <w:szCs w:val="21"/>
              </w:rPr>
              <w:t>参展日程安排</w:t>
            </w:r>
            <w:r>
              <w:rPr>
                <w:rFonts w:hint="eastAsia" w:ascii="宋体" w:hAnsi="宋体" w:eastAsia="宋体" w:cs="宋体"/>
                <w:color w:val="auto"/>
                <w:sz w:val="21"/>
                <w:szCs w:val="21"/>
              </w:rPr>
              <w:t>”</w:t>
            </w:r>
            <w:r>
              <w:rPr>
                <w:rFonts w:hint="default" w:ascii="Times New Roman" w:hAnsi="Times New Roman" w:cs="Times New Roman"/>
                <w:color w:val="auto"/>
                <w:sz w:val="21"/>
                <w:szCs w:val="21"/>
              </w:rPr>
              <w:t xml:space="preserve">办好护照、展品运输、行程确定、摊位配备等工作；在境外，自觉遵守国家外事纪律、展团纪律和安排；   </w:t>
            </w:r>
          </w:p>
          <w:p w14:paraId="51E6BB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6.</w:t>
            </w:r>
            <w:r>
              <w:rPr>
                <w:rFonts w:hint="default" w:ascii="Times New Roman" w:hAnsi="Times New Roman" w:cs="Times New Roman"/>
                <w:color w:val="auto"/>
                <w:sz w:val="21"/>
                <w:szCs w:val="21"/>
              </w:rPr>
              <w:t>有关参展费用问题请详见组团单位的招展文件，如有不明之处请于申请参展之前向组团单位了解清楚。参展企业必须按时、按标准交纳各项费用。</w:t>
            </w:r>
            <w:r>
              <w:rPr>
                <w:rFonts w:hint="default" w:ascii="Times New Roman" w:hAnsi="Times New Roman" w:cs="Times New Roman"/>
                <w:b/>
                <w:color w:val="auto"/>
                <w:sz w:val="21"/>
                <w:szCs w:val="21"/>
              </w:rPr>
              <w:t>参展申请经组团单位确认后的</w:t>
            </w:r>
            <w:r>
              <w:rPr>
                <w:rFonts w:hint="default" w:ascii="Times New Roman" w:hAnsi="Times New Roman" w:eastAsia="仿宋_GB2312" w:cs="Times New Roman"/>
                <w:b/>
                <w:color w:val="auto"/>
                <w:sz w:val="21"/>
                <w:szCs w:val="21"/>
              </w:rPr>
              <w:t>5</w:t>
            </w:r>
            <w:r>
              <w:rPr>
                <w:rFonts w:hint="default" w:ascii="Times New Roman" w:hAnsi="Times New Roman" w:cs="Times New Roman"/>
                <w:b/>
                <w:color w:val="auto"/>
                <w:sz w:val="21"/>
                <w:szCs w:val="21"/>
              </w:rPr>
              <w:t>个工作日内，交纳全额展位费；</w:t>
            </w:r>
            <w:r>
              <w:rPr>
                <w:rFonts w:hint="default" w:ascii="Times New Roman" w:hAnsi="Times New Roman" w:cs="Times New Roman"/>
                <w:color w:val="auto"/>
                <w:sz w:val="21"/>
                <w:szCs w:val="21"/>
              </w:rPr>
              <w:t>以保证参展工作的顺利进行。</w:t>
            </w:r>
            <w:r>
              <w:rPr>
                <w:rFonts w:hint="default" w:ascii="Times New Roman" w:hAnsi="Times New Roman" w:cs="Times New Roman"/>
                <w:b/>
                <w:color w:val="auto"/>
                <w:sz w:val="21"/>
                <w:szCs w:val="21"/>
              </w:rPr>
              <w:t>如参展企业未按时交齐所有款项，将被视为自动放弃参展处理，组团单位保留处理展位的权利，已交款项恕不退还。</w:t>
            </w:r>
            <w:r>
              <w:rPr>
                <w:rFonts w:hint="default" w:ascii="Times New Roman" w:hAnsi="Times New Roman" w:cs="Times New Roman"/>
                <w:color w:val="auto"/>
                <w:sz w:val="21"/>
                <w:szCs w:val="21"/>
              </w:rPr>
              <w:t>如因展会场地安排已满或企业未通过展会资格审查等原因未能提供摊位给企业，组团单位将如数返还企业所交费用；</w:t>
            </w:r>
          </w:p>
          <w:p w14:paraId="313028CB">
            <w:pPr>
              <w:pStyle w:val="2"/>
              <w:numPr>
                <w:ilvl w:val="0"/>
                <w:numId w:val="0"/>
              </w:numPr>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7.</w:t>
            </w:r>
            <w:r>
              <w:rPr>
                <w:rFonts w:hint="eastAsia" w:ascii="Times New Roman" w:hAnsi="Times New Roman" w:eastAsia="宋体" w:cs="Times New Roman"/>
                <w:b/>
                <w:color w:val="auto"/>
                <w:kern w:val="2"/>
                <w:sz w:val="21"/>
                <w:szCs w:val="21"/>
                <w:lang w:val="en-US" w:eastAsia="zh-CN" w:bidi="ar-SA"/>
              </w:rPr>
              <w:t xml:space="preserve"> 本次展会展位分配将依据参展单位报名材料提交及展位费用缴纳的先后顺序予以统筹安排</w:t>
            </w:r>
            <w:r>
              <w:rPr>
                <w:rFonts w:hint="eastAsia" w:ascii="Times New Roman" w:hAnsi="Times New Roman" w:cs="Times New Roman"/>
                <w:b/>
                <w:color w:val="auto"/>
                <w:kern w:val="2"/>
                <w:sz w:val="21"/>
                <w:szCs w:val="21"/>
                <w:lang w:val="en-US" w:eastAsia="zh-CN" w:bidi="ar-SA"/>
              </w:rPr>
              <w:t>；</w:t>
            </w:r>
          </w:p>
          <w:p w14:paraId="52D5DD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仿宋_GB2312" w:cs="Times New Roman"/>
                <w:b/>
                <w:color w:val="auto"/>
                <w:sz w:val="21"/>
                <w:szCs w:val="21"/>
                <w:lang w:val="en-US" w:eastAsia="zh-CN"/>
              </w:rPr>
              <w:t>8</w:t>
            </w:r>
            <w:r>
              <w:rPr>
                <w:rFonts w:hint="default" w:ascii="Times New Roman" w:hAnsi="Times New Roman" w:eastAsia="仿宋_GB2312" w:cs="Times New Roman"/>
                <w:b/>
                <w:color w:val="auto"/>
                <w:sz w:val="21"/>
                <w:szCs w:val="21"/>
              </w:rPr>
              <w:t>.</w:t>
            </w:r>
            <w:r>
              <w:rPr>
                <w:rFonts w:hint="default" w:ascii="Times New Roman" w:hAnsi="Times New Roman" w:cs="Times New Roman"/>
                <w:b/>
                <w:color w:val="auto"/>
                <w:sz w:val="21"/>
                <w:szCs w:val="21"/>
              </w:rPr>
              <w:t>若因参展单位延迟送</w:t>
            </w:r>
            <w:r>
              <w:rPr>
                <w:rFonts w:hint="default" w:ascii="Times New Roman" w:hAnsi="Times New Roman" w:cs="Times New Roman"/>
                <w:b/>
                <w:color w:val="auto"/>
                <w:sz w:val="21"/>
                <w:szCs w:val="21"/>
                <w:lang w:val="en-US"/>
              </w:rPr>
              <w:t>签</w:t>
            </w:r>
            <w:r>
              <w:rPr>
                <w:rFonts w:hint="default" w:ascii="Times New Roman" w:hAnsi="Times New Roman" w:cs="Times New Roman"/>
                <w:b/>
                <w:color w:val="auto"/>
                <w:sz w:val="21"/>
                <w:szCs w:val="21"/>
              </w:rPr>
              <w:t>，拒签或由于企业自身原因中途退展或不能如期参展，参展企业必须承担所发生的费用，展位费概不退还，组团单位保留处理摊位的权利</w:t>
            </w:r>
            <w:r>
              <w:rPr>
                <w:rFonts w:hint="eastAsia" w:ascii="Times New Roman" w:hAnsi="Times New Roman" w:cs="Times New Roman"/>
                <w:b/>
                <w:color w:val="auto"/>
                <w:sz w:val="21"/>
                <w:szCs w:val="21"/>
                <w:lang w:eastAsia="zh-CN"/>
              </w:rPr>
              <w:t>；</w:t>
            </w:r>
          </w:p>
          <w:p w14:paraId="0F38E3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如因</w:t>
            </w:r>
            <w:r>
              <w:rPr>
                <w:rFonts w:hint="eastAsia" w:ascii="Times New Roman" w:hAnsi="Times New Roman" w:cs="Times New Roman"/>
                <w:color w:val="auto"/>
                <w:sz w:val="21"/>
                <w:szCs w:val="21"/>
                <w:lang w:val="en-US" w:eastAsia="zh-CN"/>
              </w:rPr>
              <w:t>组团单位</w:t>
            </w:r>
            <w:r>
              <w:rPr>
                <w:rFonts w:hint="default" w:ascii="Times New Roman" w:hAnsi="Times New Roman" w:cs="Times New Roman"/>
                <w:color w:val="auto"/>
                <w:sz w:val="21"/>
                <w:szCs w:val="21"/>
              </w:rPr>
              <w:t>组织工作安排的原因，造成参展企业未能如期参展的，组委会将全额退回参展企业的展位预付款。因不可抗拒因素</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如自然灾害、疫病、意外事故、航班取消或者延误、政治或外交政策影响等</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造成的损害除外</w:t>
            </w:r>
            <w:r>
              <w:rPr>
                <w:rFonts w:hint="eastAsia" w:ascii="Times New Roman" w:hAnsi="Times New Roman" w:cs="Times New Roman"/>
                <w:color w:val="auto"/>
                <w:sz w:val="21"/>
                <w:szCs w:val="21"/>
                <w:lang w:eastAsia="zh-CN"/>
              </w:rPr>
              <w:t>；</w:t>
            </w:r>
          </w:p>
          <w:p w14:paraId="3969C5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PMingLiU" w:hAnsi="PMingLiU" w:eastAsia="PMingLiU"/>
                <w:color w:val="auto"/>
                <w:sz w:val="21"/>
                <w:szCs w:val="21"/>
              </w:rPr>
            </w:pPr>
            <w:r>
              <w:rPr>
                <w:rFonts w:hint="eastAsia"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 xml:space="preserve">组委会保留因展馆规划与实际展位搭建产生差别而导致展位调整的权利。  </w:t>
            </w:r>
          </w:p>
        </w:tc>
      </w:tr>
    </w:tbl>
    <w:p w14:paraId="1E34028B">
      <w:bookmarkStart w:id="0" w:name="_GoBack"/>
      <w:bookmarkEnd w:id="0"/>
    </w:p>
    <w:sectPr>
      <w:pgSz w:w="11906" w:h="16838"/>
      <w:pgMar w:top="1701" w:right="153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PMingLiU">
    <w:altName w:val="Sitka Text"/>
    <w:panose1 w:val="02020500000000000000"/>
    <w:charset w:val="00"/>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Sitka Text">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isLgl/>
      <w:suff w:val="nothing"/>
      <w:lvlText w:val=""/>
      <w:lvlJc w:val="left"/>
      <w:pPr>
        <w:ind w:left="425" w:hanging="425"/>
      </w:pPr>
      <w:rPr>
        <w:rFonts w:hint="eastAsia" w:ascii="宋体" w:eastAsia="宋体"/>
        <w:b/>
        <w:i w:val="0"/>
        <w:sz w:val="32"/>
      </w:rPr>
    </w:lvl>
    <w:lvl w:ilvl="1" w:tentative="0">
      <w:start w:val="1"/>
      <w:numFmt w:val="decimal"/>
      <w:lvlText w:val="%2."/>
      <w:lvlJc w:val="left"/>
      <w:pPr>
        <w:ind w:left="567" w:hanging="567"/>
      </w:pPr>
      <w:rPr>
        <w:rFonts w:hint="eastAsia" w:ascii="Times New Roman" w:hAnsi="Times New Roman" w:cs="Times New Roman"/>
        <w:b w:val="0"/>
        <w:bCs w:val="0"/>
        <w:i w:val="0"/>
        <w:iCs w:val="0"/>
        <w:caps w:val="0"/>
        <w:smallCaps w:val="0"/>
        <w:vanish w:val="0"/>
        <w:spacing w:val="0"/>
        <w:kern w:val="0"/>
        <w:position w:val="0"/>
        <w:u w:val="none"/>
        <w:vertAlign w:val="baseline"/>
      </w:rPr>
    </w:lvl>
    <w:lvl w:ilvl="2" w:tentative="0">
      <w:start w:val="1"/>
      <w:numFmt w:val="decimal"/>
      <w:isLgl/>
      <w:suff w:val="nothing"/>
      <w:lvlText w:val="%1%2.%3."/>
      <w:lvlJc w:val="left"/>
      <w:pPr>
        <w:ind w:left="2029" w:hanging="1275"/>
      </w:pPr>
      <w:rPr>
        <w:rFonts w:ascii="Times New Roman" w:hAnsi="Times New Roman" w:cs="Times New Roman"/>
        <w:b w:val="0"/>
        <w:bCs w:val="0"/>
        <w:i w:val="0"/>
        <w:iCs w:val="0"/>
        <w:caps w:val="0"/>
        <w:smallCaps w:val="0"/>
        <w:vanish w:val="0"/>
        <w:spacing w:val="0"/>
        <w:kern w:val="0"/>
        <w:position w:val="0"/>
        <w:u w:val="none"/>
        <w:vertAlign w:val="baseline"/>
      </w:rPr>
    </w:lvl>
    <w:lvl w:ilvl="3" w:tentative="0">
      <w:start w:val="1"/>
      <w:numFmt w:val="decimal"/>
      <w:pStyle w:val="2"/>
      <w:isLgl/>
      <w:suff w:val="nothing"/>
      <w:lvlText w:val="%2.%3.%4."/>
      <w:lvlJc w:val="left"/>
      <w:pPr>
        <w:ind w:left="1561" w:hanging="851"/>
      </w:pPr>
      <w:rPr>
        <w:rFonts w:ascii="Times New Roman" w:hAnsi="Times New Roman" w:cs="Times New Roman"/>
        <w:b w:val="0"/>
        <w:bCs w:val="0"/>
        <w:i w:val="0"/>
        <w:iCs w:val="0"/>
        <w:caps w:val="0"/>
        <w:smallCaps w:val="0"/>
        <w:vanish w:val="0"/>
        <w:spacing w:val="0"/>
        <w:kern w:val="0"/>
        <w:position w:val="0"/>
        <w:u w:val="none"/>
        <w:vertAlign w:val="baseline"/>
      </w:rPr>
    </w:lvl>
    <w:lvl w:ilvl="4" w:tentative="0">
      <w:start w:val="1"/>
      <w:numFmt w:val="decimal"/>
      <w:isLgl/>
      <w:suff w:val="nothing"/>
      <w:lvlText w:val="%1%2.%3.%4.%5."/>
      <w:lvlJc w:val="left"/>
      <w:pPr>
        <w:ind w:left="1352" w:hanging="992"/>
      </w:pPr>
      <w:rPr>
        <w:rFonts w:hint="eastAsia" w:ascii="宋体" w:eastAsia="宋体"/>
        <w:b/>
        <w:i w:val="0"/>
        <w:sz w:val="30"/>
      </w:rPr>
    </w:lvl>
    <w:lvl w:ilvl="5" w:tentative="0">
      <w:start w:val="1"/>
      <w:numFmt w:val="chineseCountingThousand"/>
      <w:suff w:val="nothing"/>
      <w:lvlText w:val="%1%6、"/>
      <w:lvlJc w:val="left"/>
      <w:pPr>
        <w:ind w:left="0" w:firstLine="0"/>
      </w:pPr>
      <w:rPr>
        <w:rFonts w:hint="eastAsia" w:ascii="宋体" w:eastAsia="宋体"/>
        <w:b/>
        <w:i w:val="0"/>
        <w:sz w:val="24"/>
      </w:rPr>
    </w:lvl>
    <w:lvl w:ilvl="6" w:tentative="0">
      <w:start w:val="1"/>
      <w:numFmt w:val="chineseCountingThousand"/>
      <w:suff w:val="nothing"/>
      <w:lvlText w:val="%1（%7）、"/>
      <w:lvlJc w:val="left"/>
      <w:pPr>
        <w:ind w:left="0" w:firstLine="0"/>
      </w:pPr>
      <w:rPr>
        <w:rFonts w:hint="eastAsia" w:ascii="宋体" w:eastAsia="宋体"/>
        <w:b/>
        <w:i w:val="0"/>
        <w:sz w:val="24"/>
      </w:rPr>
    </w:lvl>
    <w:lvl w:ilvl="7" w:tentative="0">
      <w:start w:val="1"/>
      <w:numFmt w:val="decimal"/>
      <w:suff w:val="nothing"/>
      <w:lvlText w:val="%1%8、"/>
      <w:lvlJc w:val="left"/>
      <w:pPr>
        <w:ind w:left="0" w:firstLine="567"/>
      </w:pPr>
      <w:rPr>
        <w:rFonts w:hint="eastAsia" w:ascii="宋体" w:eastAsia="宋体"/>
        <w:b/>
        <w:i w:val="0"/>
        <w:sz w:val="24"/>
      </w:rPr>
    </w:lvl>
    <w:lvl w:ilvl="8" w:tentative="0">
      <w:start w:val="1"/>
      <w:numFmt w:val="decimal"/>
      <w:suff w:val="nothing"/>
      <w:lvlText w:val="%1（%9）、"/>
      <w:lvlJc w:val="left"/>
      <w:pPr>
        <w:ind w:left="0" w:firstLine="680"/>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35A7A"/>
    <w:rsid w:val="4BE65695"/>
    <w:rsid w:val="4C565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widowControl w:val="0"/>
      <w:numPr>
        <w:ilvl w:val="3"/>
        <w:numId w:val="1"/>
      </w:numPr>
      <w:jc w:val="both"/>
      <w:outlineLvl w:val="2"/>
    </w:pPr>
    <w:rPr>
      <w:rFonts w:ascii="Calibri" w:hAnsi="Calibri" w:eastAsia="宋体" w:cs="Times New Roman"/>
      <w:kern w:val="0"/>
      <w:sz w:val="2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2026-02-13T02:19:00Z</dcterms:created>
  <dc:creator>Administrator.PC-202105111952</dc:creator>
  <cp:lastModifiedBy>凌彩姻</cp:lastModifiedBy>
  <dcterms:modified xsi:type="dcterms:W3CDTF">2026-02-13T07:03:46Z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eyJoZGlkIjoiNDg0ODgzNGY3ZjQ2NmE5YzhhOTllNDRjOTM1MDRiOTYiLCJ1c2VySWQiOiIxNjk3NzU0Njk1In0=</vt:lpwstr>
  </property>
  <property fmtid="{D5CDD505-2E9C-101B-9397-08002B2CF9AE}" pid="4" name="ICV">
    <vt:lpwstr>39FA3DE27CDE4AFAA64E281848AE0F7C_12</vt:lpwstr>
  </property>
</Properties>
</file>