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AC9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</w:p>
    <w:p w14:paraId="1E1DC52D">
      <w:pPr>
        <w:pStyle w:val="4"/>
        <w:rPr>
          <w:rFonts w:hint="eastAsia"/>
          <w:color w:val="auto"/>
          <w:lang w:val="en-US" w:eastAsia="zh-CN"/>
        </w:rPr>
      </w:pPr>
    </w:p>
    <w:p w14:paraId="5B76EB7C">
      <w:pPr>
        <w:pStyle w:val="4"/>
        <w:rPr>
          <w:rFonts w:hint="eastAsia"/>
          <w:color w:val="auto"/>
          <w:lang w:val="en-US" w:eastAsia="zh-CN"/>
        </w:rPr>
      </w:pPr>
    </w:p>
    <w:p w14:paraId="43FCCFD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2026年印尼国际食品和饮料贸易展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暨进东盟（印尼）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专题展区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介绍</w:t>
      </w:r>
    </w:p>
    <w:p w14:paraId="6790ED77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color w:val="auto"/>
        </w:rPr>
      </w:pPr>
    </w:p>
    <w:p w14:paraId="15A248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展览概况</w:t>
      </w:r>
      <w:r>
        <w:rPr>
          <w:rFonts w:hint="eastAsia" w:ascii="黑体" w:hAnsi="黑体" w:eastAsia="黑体" w:cs="黑体"/>
          <w:color w:val="auto"/>
        </w:rPr>
        <w:t xml:space="preserve"> </w:t>
      </w:r>
    </w:p>
    <w:p w14:paraId="24CE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名称：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2026年印度尼西亚国际食品和饮料贸易展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进东盟（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印尼）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专题展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区</w:t>
      </w:r>
    </w:p>
    <w:p w14:paraId="2A34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（二）展览时间：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10日</w:t>
      </w:r>
    </w:p>
    <w:p w14:paraId="559D6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（三）展览地点：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印尼雅加达国际展览中心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（JIExpo Kemayoran Jakarta）</w:t>
      </w:r>
    </w:p>
    <w:p w14:paraId="7EB2E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bidi="ar-SA"/>
        </w:rPr>
        <w:t>（四）展览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 w:bidi="ar-SA"/>
        </w:rPr>
        <w:t>内容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bidi="ar-SA"/>
        </w:rPr>
        <w:t>：</w:t>
      </w:r>
    </w:p>
    <w:p w14:paraId="6AC8DC5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食材、罐头及包装食品、糖果甜食、休闲食品和饮料、食品机械、餐饮供应链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等</w:t>
      </w:r>
    </w:p>
    <w:p w14:paraId="664CFB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规模：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标准展位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个</w:t>
      </w:r>
    </w:p>
    <w:p w14:paraId="1A1688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（六）展期活动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：</w:t>
      </w:r>
    </w:p>
    <w:p w14:paraId="07C0B93E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.贵宾巡馆</w:t>
      </w:r>
    </w:p>
    <w:p w14:paraId="4C442D4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将邀请中国和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高规格嘉宾、经贸主管部门、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、行业协会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等单位代表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巡视专题展区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2256D06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.专业行业对接</w:t>
      </w:r>
    </w:p>
    <w:p w14:paraId="00BB9C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根据参展企业的行业属性和需求，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与当地经贸主管部门、主要商协会、行业协会、行业龙头企业合作，做好精准买家邀请和配对工作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8061B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当地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环境考察</w:t>
      </w:r>
    </w:p>
    <w:p w14:paraId="6FDABC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对当地营商环境进行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走访考察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参展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企业搭建与当地企业、行业协会及政府机构的交流平台，促进双方交流与合作。</w:t>
      </w:r>
    </w:p>
    <w:p w14:paraId="57C66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（七）参展费用：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00"/>
        <w:gridCol w:w="4845"/>
        <w:gridCol w:w="1886"/>
      </w:tblGrid>
      <w:tr w14:paraId="6209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项 目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内 容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B25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eastAsia="zh-CN"/>
              </w:rPr>
              <w:t>标准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m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C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展位配置：展位围板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楣板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张咨询台、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张洽谈桌、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3把折叠椅、2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盏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长臂射灯、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880W圆孔插座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个垃圾篓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1AB8B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如搭建标变，费用有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所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提高。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32,000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元/个</w:t>
            </w:r>
          </w:p>
        </w:tc>
      </w:tr>
      <w:tr w14:paraId="3623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室内光地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至少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㎡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起租，无配置，自行搭建展台样式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2,900</w:t>
            </w:r>
            <w:r>
              <w:rPr>
                <w:rFonts w:ascii="Times New Roman" w:hAnsi="Times New Roman" w:eastAsia="仿宋_GB2312"/>
                <w:bCs w:val="0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  <w:highlight w:val="none"/>
              </w:rPr>
              <w:t>/㎡</w:t>
            </w:r>
          </w:p>
        </w:tc>
      </w:tr>
      <w:tr w14:paraId="6E27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全程随团参展人员费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（向指定第三方服务机构缴纳）国际旅费、境外食宿费、市内交通费等。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060E">
            <w:pPr>
              <w:keepNext w:val="0"/>
              <w:keepLines w:val="0"/>
              <w:spacing w:line="400" w:lineRule="exact"/>
              <w:jc w:val="both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13,8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元/人</w:t>
            </w:r>
          </w:p>
        </w:tc>
      </w:tr>
    </w:tbl>
    <w:p w14:paraId="079C6344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（八）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eastAsia="zh-CN" w:bidi="ar-SA"/>
        </w:rPr>
        <w:t>参展支持：</w:t>
      </w:r>
    </w:p>
    <w:p w14:paraId="488692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将为符合条件的广西参展企业在展位费、物流运输、全程随团参展人员费等方面提供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一定比例支持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8007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报名要求</w:t>
      </w:r>
    </w:p>
    <w:p w14:paraId="2FDD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请意愿参展企业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《2026年印尼国际食品和饮料贸易展暨进东盟（印尼）专题展区报名表》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liaison@caexpo.org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加盖公章。</w:t>
      </w:r>
    </w:p>
    <w:p w14:paraId="646F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展品运输事项另行通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知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。</w:t>
      </w:r>
    </w:p>
    <w:p w14:paraId="04FACEDF"/>
    <w:sectPr>
      <w:pgSz w:w="11906" w:h="16838"/>
      <w:pgMar w:top="1701" w:right="153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2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5994B247"/>
    <w:multiLevelType w:val="singleLevel"/>
    <w:tmpl w:val="5994B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E0A54"/>
    <w:rsid w:val="51AE5B56"/>
    <w:rsid w:val="54BF74E6"/>
    <w:rsid w:val="79941BFB"/>
    <w:rsid w:val="7C6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widowControl w:val="0"/>
      <w:numPr>
        <w:ilvl w:val="3"/>
        <w:numId w:val="1"/>
      </w:numPr>
      <w:jc w:val="both"/>
      <w:outlineLvl w:val="2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4"/>
    <w:qFormat/>
    <w:uiPriority w:val="0"/>
    <w:pPr>
      <w:ind w:firstLine="567"/>
      <w:jc w:val="left"/>
      <w:textAlignment w:val="baseline"/>
    </w:pPr>
    <w:rPr>
      <w:rFonts w:ascii="Arial" w:hAnsi="Arial" w:eastAsia="宋体"/>
      <w:color w:val="000000"/>
      <w:sz w:val="28"/>
      <w:szCs w:val="24"/>
    </w:rPr>
  </w:style>
  <w:style w:type="paragraph" w:customStyle="1" w:styleId="8">
    <w:name w:val="_Style 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等线" w:hAnsi="等线" w:eastAsia="等线" w:cs="Times New Roman"/>
      <w:kern w:val="2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501</Characters>
  <Lines>0</Lines>
  <Paragraphs>0</Paragraphs>
  <TotalTime>0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2026-02-13T02:17:00Z</dcterms:created>
  <dc:creator>Administrator.PC-202105111952</dc:creator>
  <cp:lastModifiedBy>100</cp:lastModifiedBy>
  <dcterms:modified xsi:type="dcterms:W3CDTF">2026-02-15T06:51:08Z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eyJoZGlkIjoiZDA0Y2RiNzcxMzEzMzQyMDkwNDMxMzBjNDBhN2Y5ZmIiLCJ1c2VySWQiOiIxNDcyNTY4MjQwIn0=</vt:lpwstr>
  </property>
  <property fmtid="{D5CDD505-2E9C-101B-9397-08002B2CF9AE}" pid="4" name="ICV">
    <vt:lpwstr>4E4D99495047438583B932BAB5AAF683_12</vt:lpwstr>
  </property>
</Properties>
</file>